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Propuestas de Investigación en Análisis Topológico de Datos Aplicado a la Macroeconometría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Epistemológicos del Análisis Topológico en Macroeconomía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macroeconometría empírica contemporánea descansa primordialmente sobre formulaciones estadísticas que asumen geometrías euclidianas, relaciones lineales y propiedades de estacionariedad o cuasi-estacionariedad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Metodologías nucleares en el diseño de política económica —tales como los vectores autorregresivos (VAR), los modelos de factores dinámicos (DFM) y las estructuras autorregresivas con cambio de régimen de Markov (MS-AR)— modelan las interdependencias del sistema económico agregando momentos condicionales de primer y segundo orden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No obstante, las fluctuaciones macroeconómicas generadas por fricciones financieras, perturbaciones en cadenas de suministro y asimetrías de información provocan transiciones discontinuas y configuraciones estructurales complejas que habitan sobre variedades diferenciables (</w:t>
      </w:r>
      <w:r w:rsidDel="00000000" w:rsidR="00000000" w:rsidRPr="00000000">
        <w:rPr>
          <w:rFonts w:ascii="Google Sans" w:cs="Google Sans" w:eastAsia="Google Sans" w:hAnsi="Google Sans"/>
          <w:i w:val="1"/>
          <w:iCs w:val="1"/>
          <w:color w:val="1f1f1f"/>
          <w:rtl w:val="0"/>
        </w:rPr>
        <w:t xml:space="preserve">manifolds</w:t>
      </w:r>
      <w:r w:rsidDel="00000000" w:rsidR="00000000" w:rsidRPr="00000000">
        <w:rPr>
          <w:rFonts w:ascii="Google Sans" w:cs="Google Sans" w:eastAsia="Google Sans" w:hAnsi="Google Sans"/>
          <w:color w:val="1f1f1f"/>
          <w:rtl w:val="0"/>
        </w:rPr>
        <w:t xml:space="preserve">) no lineales de dimensión reducida, inmersas dentro de espacios de fase macroeconómicos de dimensionalidad masiva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Topológico de Datos (TDA, por sus siglas en inglés) proporciona un marco matemático riguroso, arraigado en la topología algebraica, diseñado para recuperar y formalizar la "forma" geométrica de los datos prescindiendo de especificaciones paramétricas restrictivas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diferencia de los métodos de reducción dimensional basados en proyecciones lineales como el Análisis de Componentes Principales (PCA), el TDA extrae propiedades invariantes frente a transformaciones continuas, cambios de escala y perturbaciones estocásticas moderadas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pilar operativo del TDA es la homología persistente, la cual evalúa la evolución de las propiedades de conectividad de un conjunto de datos a lo largo de un espectro continuo de resolución métrica denominado filtración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través de la construcción de complejos simpliciales anidados (como los complejos de Vietoris-Rips o de Čech), la homología persistente rastrea de manera simultánea el nacimiento y la muerte de clases homológicas asociadas a diferentes dimensiones algebraicas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dimensión cero (</w:t>
      </w:r>
      <w:r w:rsidDel="00000000" w:rsidR="00000000" w:rsidRPr="00000000">
        <w:rPr>
          <w:rFonts w:ascii="Google Sans" w:cs="Google Sans" w:eastAsia="Google Sans" w:hAnsi="Google Sans"/>
          <w:color w:val="1f1f1f"/>
        </w:rPr>
        <w:drawing>
          <wp:inline distB="19050" distT="19050" distL="19050" distR="19050">
            <wp:extent cx="241102" cy="250746"/>
            <wp:effectExtent b="0" l="0" r="0" t="0"/>
            <wp:docPr id="6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41102" cy="250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instrumental topológico captura la agrupación y fragmentación de componentes conexas, identificando la cohesión estructural del sistema analizado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dimensión uno (</w:t>
      </w:r>
      <w:r w:rsidDel="00000000" w:rsidR="00000000" w:rsidRPr="00000000">
        <w:rPr>
          <w:rFonts w:ascii="Google Sans" w:cs="Google Sans" w:eastAsia="Google Sans" w:hAnsi="Google Sans"/>
          <w:color w:val="1f1f1f"/>
        </w:rPr>
        <w:drawing>
          <wp:inline distB="19050" distT="19050" distL="19050" distR="19050">
            <wp:extent cx="212973" cy="222654"/>
            <wp:effectExtent b="0" l="0" r="0" t="0"/>
            <wp:docPr id="64"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2973" cy="222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cuantifica la presencia de bucles o túneles topológicos, lo que en el contexto de series temporales refleja oscilaciones recurrentes, dinámicas cuasi-periódicas o tensiones estructurales que no logran resolverse de forma estacionaria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dimensión dos (</w:t>
      </w:r>
      <w:r w:rsidDel="00000000" w:rsidR="00000000" w:rsidRPr="00000000">
        <w:rPr>
          <w:rFonts w:ascii="Google Sans" w:cs="Google Sans" w:eastAsia="Google Sans" w:hAnsi="Google Sans"/>
          <w:color w:val="1f1f1f"/>
        </w:rPr>
        <w:drawing>
          <wp:inline distB="19050" distT="19050" distL="19050" distR="19050">
            <wp:extent cx="241102" cy="250746"/>
            <wp:effectExtent b="0" l="0" r="0" t="0"/>
            <wp:docPr id="63"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241102" cy="250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identifica cavidades o vacíos multidimensionales, indicativos de zonas de exclusión o fallas estructurales de diversificación macroeconómica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acoplar este aparato geométrico con la econometría inferencial, la literatura ha superado la restricción de trabajar con diagramas de persistencia abstractos —los cuales carecen de una métrica euclidiana natural y presentan dificultades para el cálculo de medias de Fréchet unívocas— mediante su funcionalización en espacios de Banach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desarrollo de los paisajes de persistencia (</w:t>
      </w:r>
      <w:r w:rsidDel="00000000" w:rsidR="00000000" w:rsidRPr="00000000">
        <w:rPr>
          <w:rFonts w:ascii="Google Sans" w:cs="Google Sans" w:eastAsia="Google Sans" w:hAnsi="Google Sans"/>
          <w:i w:val="1"/>
          <w:iCs w:val="1"/>
          <w:color w:val="1f1f1f"/>
          <w:rtl w:val="0"/>
        </w:rPr>
        <w:t xml:space="preserve">persistence landscapes</w:t>
      </w:r>
      <w:r w:rsidDel="00000000" w:rsidR="00000000" w:rsidRPr="00000000">
        <w:rPr>
          <w:rFonts w:ascii="Google Sans" w:cs="Google Sans" w:eastAsia="Google Sans" w:hAnsi="Google Sans"/>
          <w:color w:val="1f1f1f"/>
          <w:rtl w:val="0"/>
        </w:rPr>
        <w:t xml:space="preserve">) de Bubenik permite representar los patrones de persistencia como funciones continuas y derivables en </w:t>
      </w:r>
      <w:r w:rsidDel="00000000" w:rsidR="00000000" w:rsidRPr="00000000">
        <w:rPr>
          <w:rFonts w:ascii="Google Sans" w:cs="Google Sans" w:eastAsia="Google Sans" w:hAnsi="Google Sans"/>
          <w:color w:val="1f1f1f"/>
        </w:rPr>
        <w:drawing>
          <wp:inline distB="19050" distT="19050" distL="19050" distR="19050">
            <wp:extent cx="187375" cy="215481"/>
            <wp:effectExtent b="0" l="0" r="0" t="0"/>
            <wp:docPr id="66"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187375" cy="215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habilitando la estimación de medias empíricas, varianzas, pruebas de hipótesis no paramétricas y la integración directa de normas topológicas como variables explicativas dentro de regresiones dinámicas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combinación entre el análisis de series de tiempo y el TDA no solo robustece la modelación frente a quiebres estructurales, sino que aporta indicadores adelantados con sustento estructural que optimizan los sistemas de alerta temprana macroeconómica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1: Detección Temprana de Recesiones y Ciclos Económicos mediante Reconstrucción de Atractores y Paisajes de Persistencia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Justificación y Relevancia Macroeconómica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identificación y anticipación de los puntos de inflexión del ciclo económico constituyen uno de los campos de mayor impacto para la política fiscal y monetaria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Los modelos econométricos tradicionales de alerta temprana, estructurados principalmente sobre modelos Probit dinámicos y modelos autorregresivos con cambio de régimen, suelen fallar al capturar las transiciones abruptas hacia fases contractivas, registrando rezagos sistemáticos en la identificación de quiebres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La contracción económica no ocurre como un choque simétrico lineal, sino como una reorganización profunda en la órbita del sistema económico en su espacio de estados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emplear el Teorema de Incrustación de Retardo de Takens, es factible tomar series temporales univariadas o vectores reducidos de actividad económica y reconstruir el atractor determinista que gobierna la dinámica agregada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Las perturbaciones de régimen alteran la topología intrínseca de este atractor, induciendo colapsos o expansiones en los bucles homológicos (</w:t>
      </w:r>
      <w:r w:rsidDel="00000000" w:rsidR="00000000" w:rsidRPr="00000000">
        <w:rPr>
          <w:rFonts w:ascii="Google Sans" w:cs="Google Sans" w:eastAsia="Google Sans" w:hAnsi="Google Sans"/>
          <w:color w:val="1f1f1f"/>
        </w:rPr>
        <w:drawing>
          <wp:inline distB="19050" distT="19050" distL="19050" distR="19050">
            <wp:extent cx="212973" cy="222654"/>
            <wp:effectExtent b="0" l="0" r="0" t="0"/>
            <wp:docPr id="65"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2973" cy="222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Medir sistemáticamente la deformación del espacio de fases a través de la homología persistente provee una herramienta no supervisada capaz de detectar tensiones acumulativas de estrés cíclico con semanas o meses de anticipación respecto a la confirmación oficial de los comités de fechado de ciclos, como el NBER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Instrumental Topológico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estrategia metodológica comienza transformando una serie de actividad agregada </w:t>
      </w:r>
      <w:r w:rsidDel="00000000" w:rsidR="00000000" w:rsidRPr="00000000">
        <w:rPr>
          <w:rFonts w:ascii="Google Sans" w:cs="Google Sans" w:eastAsia="Google Sans" w:hAnsi="Google Sans"/>
          <w:color w:val="1f1f1f"/>
        </w:rPr>
        <w:drawing>
          <wp:inline distB="19050" distT="19050" distL="19050" distR="19050">
            <wp:extent cx="171450" cy="247650"/>
            <wp:effectExtent b="0" l="0" r="0" t="0"/>
            <wp:docPr id="70"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17145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una nube de puntos inmersa en </w:t>
      </w:r>
      <w:r w:rsidDel="00000000" w:rsidR="00000000" w:rsidRPr="00000000">
        <w:rPr>
          <w:rFonts w:ascii="Google Sans" w:cs="Google Sans" w:eastAsia="Google Sans" w:hAnsi="Google Sans"/>
          <w:color w:val="1f1f1f"/>
        </w:rPr>
        <w:drawing>
          <wp:inline distB="19050" distT="19050" distL="19050" distR="19050">
            <wp:extent cx="239762" cy="220581"/>
            <wp:effectExtent b="0" l="0" r="0" t="0"/>
            <wp:docPr id="69"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239762" cy="2205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mediante la incrustación de Takens: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75"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el retardo temporal </w:t>
      </w:r>
      <w:r w:rsidDel="00000000" w:rsidR="00000000" w:rsidRPr="00000000">
        <w:rPr>
          <w:rFonts w:ascii="Google Sans" w:cs="Google Sans" w:eastAsia="Google Sans" w:hAnsi="Google Sans"/>
          <w:color w:val="1f1f1f"/>
        </w:rPr>
        <w:drawing>
          <wp:inline distB="19050" distT="19050" distL="19050" distR="19050">
            <wp:extent cx="107900" cy="255037"/>
            <wp:effectExtent b="0" l="0" r="0" t="0"/>
            <wp:docPr id="7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07900" cy="255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determina mediante la primera raíz nula de la función de autocorrelación o el primer mínimo local de la función de información mutua promedio, y la dimensión de inmersión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8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parametriza utilizando el algoritmo de falsos vecinos más cercanos (</w:t>
      </w:r>
      <w:r w:rsidDel="00000000" w:rsidR="00000000" w:rsidRPr="00000000">
        <w:rPr>
          <w:rFonts w:ascii="Google Sans" w:cs="Google Sans" w:eastAsia="Google Sans" w:hAnsi="Google Sans"/>
          <w:i w:val="1"/>
          <w:iCs w:val="1"/>
          <w:color w:val="1f1f1f"/>
          <w:rtl w:val="0"/>
        </w:rPr>
        <w:t xml:space="preserve">False Nearest Neighbors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Sobre ventanas temporales deslizantes de tamaño </w:t>
      </w:r>
      <w:r w:rsidDel="00000000" w:rsidR="00000000" w:rsidRPr="00000000">
        <w:rPr>
          <w:rFonts w:ascii="Google Sans" w:cs="Google Sans" w:eastAsia="Google Sans" w:hAnsi="Google Sans"/>
          <w:color w:val="1f1f1f"/>
        </w:rPr>
        <w:drawing>
          <wp:inline distB="19050" distT="19050" distL="19050" distR="19050">
            <wp:extent cx="212080" cy="250640"/>
            <wp:effectExtent b="0" l="0" r="0" t="0"/>
            <wp:docPr id="76"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212080" cy="250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construyen filtraciones de complejos de Vietoris-Rips </w:t>
      </w:r>
      <w:r w:rsidDel="00000000" w:rsidR="00000000" w:rsidRPr="00000000">
        <w:rPr>
          <w:rFonts w:ascii="Google Sans" w:cs="Google Sans" w:eastAsia="Google Sans" w:hAnsi="Google Sans"/>
          <w:color w:val="1f1f1f"/>
        </w:rPr>
        <w:drawing>
          <wp:inline distB="19050" distT="19050" distL="19050" distR="19050">
            <wp:extent cx="812602" cy="248560"/>
            <wp:effectExtent b="0" l="0" r="0" t="0"/>
            <wp:docPr id="78"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812602" cy="2485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calculando las clases de homología persistente para las dimensiones </w:t>
      </w:r>
      <w:r w:rsidDel="00000000" w:rsidR="00000000" w:rsidRPr="00000000">
        <w:rPr>
          <w:rFonts w:ascii="Google Sans" w:cs="Google Sans" w:eastAsia="Google Sans" w:hAnsi="Google Sans"/>
          <w:color w:val="1f1f1f"/>
        </w:rPr>
        <w:drawing>
          <wp:inline distB="19050" distT="19050" distL="19050" distR="19050">
            <wp:extent cx="241102" cy="250746"/>
            <wp:effectExtent b="0" l="0" r="0" t="0"/>
            <wp:docPr id="8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41102" cy="250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212973" cy="222654"/>
            <wp:effectExtent b="0" l="0" r="0" t="0"/>
            <wp:docPr id="83"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2973" cy="22265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Posteriormente, los pares de nacimiento y muerte </w:t>
      </w:r>
      <w:r w:rsidDel="00000000" w:rsidR="00000000" w:rsidRPr="00000000">
        <w:rPr>
          <w:rFonts w:ascii="Google Sans" w:cs="Google Sans" w:eastAsia="Google Sans" w:hAnsi="Google Sans"/>
          <w:color w:val="1f1f1f"/>
        </w:rPr>
        <w:drawing>
          <wp:inline distB="19050" distT="19050" distL="19050" distR="19050">
            <wp:extent cx="539800" cy="246224"/>
            <wp:effectExtent b="0" l="0" r="0" t="0"/>
            <wp:docPr id="85"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539800" cy="246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obtenidos se proyectan sobre paisajes de persistencia, definidos como: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87"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89"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el nivel o capa del paisaje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partir de estas funciones, se calcula la trayectoria temporal de las normas </w:t>
      </w:r>
      <w:r w:rsidDel="00000000" w:rsidR="00000000" w:rsidRPr="00000000">
        <w:rPr>
          <w:rFonts w:ascii="Google Sans" w:cs="Google Sans" w:eastAsia="Google Sans" w:hAnsi="Google Sans"/>
          <w:color w:val="1f1f1f"/>
        </w:rPr>
        <w:drawing>
          <wp:inline distB="19050" distT="19050" distL="19050" distR="19050">
            <wp:extent cx="211783" cy="250289"/>
            <wp:effectExtent b="0" l="0" r="0" t="0"/>
            <wp:docPr id="90"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211783" cy="250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211783" cy="250289"/>
            <wp:effectExtent b="0" l="0" r="0" t="0"/>
            <wp:docPr id="91"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211783" cy="250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60467"/>
            <wp:effectExtent b="0" l="0" r="0" t="0"/>
            <wp:docPr id="92" name="image66.png"/>
            <a:graphic>
              <a:graphicData uri="http://schemas.openxmlformats.org/drawingml/2006/picture">
                <pic:pic>
                  <pic:nvPicPr>
                    <pic:cNvPr id="0" name="image66.png"/>
                    <pic:cNvPicPr preferRelativeResize="0"/>
                  </pic:nvPicPr>
                  <pic:blipFill>
                    <a:blip r:embed="rId22"/>
                    <a:srcRect b="0" l="0" r="0" t="0"/>
                    <a:stretch>
                      <a:fillRect/>
                    </a:stretch>
                  </pic:blipFill>
                  <pic:spPr>
                    <a:xfrm>
                      <a:off x="0" y="0"/>
                      <a:ext cx="5905500" cy="76046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así como el centroide temporal ponderado de nacimiento de ciclos, permitiendo generar series macroeconómicas puramente topológicas que capturan la frustración o deformación del atractor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y Fuentes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empírico se alimenta de indicadores de alta frecuencia y mensuales disponibles públicamente en la plataforma FRED del Banco de la Reserva Federal de San Luis. La especificación requiere el Índice de Producción Industrial, el diferencial de tasas del Tesoro estadounidense (10 años menos 3 meses), el índice de difusión manufacturero del Institute for Supply Management (ISM) y las nóminas no agrícolas. La variable dependiente binaria de referencia corresponde al indicador oficial de recesión económica determinado por el </w:t>
      </w:r>
      <w:r w:rsidDel="00000000" w:rsidR="00000000" w:rsidRPr="00000000">
        <w:rPr>
          <w:rFonts w:ascii="Google Sans" w:cs="Google Sans" w:eastAsia="Google Sans" w:hAnsi="Google Sans"/>
          <w:i w:val="1"/>
          <w:iCs w:val="1"/>
          <w:color w:val="1f1f1f"/>
          <w:rtl w:val="0"/>
        </w:rPr>
        <w:t xml:space="preserve">National Bureau of Economic Research</w:t>
      </w:r>
      <w:r w:rsidDel="00000000" w:rsidR="00000000" w:rsidRPr="00000000">
        <w:rPr>
          <w:rFonts w:ascii="Google Sans" w:cs="Google Sans" w:eastAsia="Google Sans" w:hAnsi="Google Sans"/>
          <w:color w:val="1f1f1f"/>
          <w:rtl w:val="0"/>
        </w:rPr>
        <w:t xml:space="preserve"> (NBER).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Contraste Econométrico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contrastación formal se articula mediante modelos Probit dinámicos y modelos Logit autorregresivos. El modelo base estima la probabilidad condicional de recesión a un horizonte de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4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periodos, </w:t>
      </w:r>
      <w:r w:rsidDel="00000000" w:rsidR="00000000" w:rsidRPr="00000000">
        <w:rPr>
          <w:rFonts w:ascii="Google Sans" w:cs="Google Sans" w:eastAsia="Google Sans" w:hAnsi="Google Sans"/>
          <w:color w:val="1f1f1f"/>
        </w:rPr>
        <w:drawing>
          <wp:inline distB="19050" distT="19050" distL="19050" distR="19050">
            <wp:extent cx="1369962" cy="247354"/>
            <wp:effectExtent b="0" l="0" r="0" t="0"/>
            <wp:docPr id="48"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1369962" cy="247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fundamentándose exclusivamente en el diferencial de rendimientos de la curva soberana y rezagos del crecimiento industrial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propuesto incorpora las innovaciones topológicas: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6702"/>
            <wp:effectExtent b="0" l="0" r="0" t="0"/>
            <wp:docPr id="50"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905500" cy="73670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229642" cy="248779"/>
            <wp:effectExtent b="0" l="0" r="0" t="0"/>
            <wp:docPr id="52"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229642" cy="2487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vector de variables macroeconómicas de control y </w:t>
      </w:r>
      <w:r w:rsidDel="00000000" w:rsidR="00000000" w:rsidRPr="00000000">
        <w:rPr>
          <w:rFonts w:ascii="Google Sans" w:cs="Google Sans" w:eastAsia="Google Sans" w:hAnsi="Google Sans"/>
          <w:color w:val="1f1f1f"/>
        </w:rPr>
        <w:drawing>
          <wp:inline distB="19050" distT="19050" distL="19050" distR="19050">
            <wp:extent cx="476994" cy="248037"/>
            <wp:effectExtent b="0" l="0" r="0" t="0"/>
            <wp:docPr id="54"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476994" cy="248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 norma del paisaje de persistencia en </w:t>
      </w:r>
      <w:r w:rsidDel="00000000" w:rsidR="00000000" w:rsidRPr="00000000">
        <w:rPr>
          <w:rFonts w:ascii="Google Sans" w:cs="Google Sans" w:eastAsia="Google Sans" w:hAnsi="Google Sans"/>
          <w:color w:val="1f1f1f"/>
        </w:rPr>
        <w:drawing>
          <wp:inline distB="19050" distT="19050" distL="19050" distR="19050">
            <wp:extent cx="212973" cy="222654"/>
            <wp:effectExtent b="0" l="0" r="0" t="0"/>
            <wp:docPr id="56"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2973" cy="22265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evaluación de ganancia predictiva se ejecuta mediante divisiones estrictamente cronológicas de la muestra, calculando el Área Bajo la Curva ROC (AUROC), la puntuación de probabilidad de Brier y pruebas de cambio estructural de Bai-Perron para validar si las rupturas topológicas preceden estadísticamente a las contracciones cíclicas formales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 Metodológico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Econométrico Estándar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Topológico Integrado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Configuración de entrada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Series temporales estacionarias univariadas o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Atractor dinámico reconstruido vía Takens (</w:t>
            </w:r>
            <w:r w:rsidDel="00000000" w:rsidR="00000000" w:rsidRPr="00000000">
              <w:rPr>
                <w:rFonts w:ascii="Google Sans" w:cs="Google Sans" w:eastAsia="Google Sans" w:hAnsi="Google Sans"/>
                <w:color w:val="1f1f1f"/>
              </w:rPr>
              <w:drawing>
                <wp:inline distB="19050" distT="19050" distL="19050" distR="19050">
                  <wp:extent cx="239762" cy="220581"/>
                  <wp:effectExtent b="0" l="0" r="0" t="0"/>
                  <wp:docPr id="58"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239762" cy="2205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Hipótesis estructural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Transición gobernada por cadena de Markov lineal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Deformación morfológica y bifurcación en el espacio de fases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Indicador clave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Probabilidad filtrada del régimen latente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 </w:t>
            </w:r>
            <w:r w:rsidDel="00000000" w:rsidR="00000000" w:rsidRPr="00000000">
              <w:rPr>
                <w:rFonts w:ascii="Google Sans" w:cs="Google Sans" w:eastAsia="Google Sans" w:hAnsi="Google Sans"/>
                <w:color w:val="1f1f1f"/>
              </w:rPr>
              <w:drawing>
                <wp:inline distB="19050" distT="19050" distL="19050" distR="19050">
                  <wp:extent cx="187375" cy="215481"/>
                  <wp:effectExtent b="0" l="0" r="0" t="0"/>
                  <wp:docPr id="59"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187375" cy="215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momento de la homología persistente </w:t>
            </w:r>
            <w:r w:rsidDel="00000000" w:rsidR="00000000" w:rsidRPr="00000000">
              <w:rPr>
                <w:rFonts w:ascii="Google Sans" w:cs="Google Sans" w:eastAsia="Google Sans" w:hAnsi="Google Sans"/>
                <w:color w:val="1f1f1f"/>
              </w:rPr>
              <w:drawing>
                <wp:inline distB="19050" distT="19050" distL="19050" distR="19050">
                  <wp:extent cx="212973" cy="222654"/>
                  <wp:effectExtent b="0" l="0" r="0" t="0"/>
                  <wp:docPr id="60"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2973" cy="22265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 12,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 de contraste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Log-verosimilitud y criterios AIC/BIC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Ganancia marginal en AUROC y precisión fuera de muestra</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2: Resiliencia y Contagio en Redes de Insumo-Producto Globales bajo Filtraciones Asimétricas de Dowker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Justificación y Relevancia Macroeconómica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estudio de la propagación de perturbaciones a través de cadenas globales de valor y redes de producción es un componente central de la macroeconomía moderna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 literatura canónica, fundamentada en el modelo de Leontief y en medidas estándar de teoría de grafos (densidad, centralidad de grado o intermediación), tiende a analizar las transacciones intersectoriales colapsando la red en enlaces bilaterales independientes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Esta simplificación omite las dependencias circulares complejas de orden superior, las cuales determinan la capacidad de absorción o amplificación de choques de oferta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existencia de cavidades homológicas multidimensionales en redes productivas revela la ausencia de vías de sustitución técnica directa o redundancia operativa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Si un choque interrumpe un sector perteneciente a un circuito productivo irreductible, el bloqueo se transmite de forma no lineal al resto de la economía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análisis topológico permite evaluar la resiliencia estructural de las matrices insumo-producto sin necesidad de simetrizar artificialmente las matrices de coeficientes técnicos, preservando la naturaleza dirigida de las cadenas de suministro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Instrumental Topológico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partir de la matriz de transacciones intersectoriales </w:t>
      </w:r>
      <w:r w:rsidDel="00000000" w:rsidR="00000000" w:rsidRPr="00000000">
        <w:rPr>
          <w:rFonts w:ascii="Google Sans" w:cs="Google Sans" w:eastAsia="Google Sans" w:hAnsi="Google Sans"/>
          <w:color w:val="1f1f1f"/>
        </w:rPr>
        <w:drawing>
          <wp:inline distB="19050" distT="19050" distL="19050" distR="19050">
            <wp:extent cx="888950" cy="248524"/>
            <wp:effectExtent b="0" l="0" r="0" t="0"/>
            <wp:docPr id="61"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888950" cy="2485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las filas indican los sectores proveedores y las columnas los sectores compradores, se genera una estructura de adyacencia dirigida y fuertemente asimétrica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Para capturar las propiedades topológicas sin forzar simetría euclidiana, se utiliza la formulación de filtración de Dowker para grafos dirigidos ponderados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técnica asocia a cada relación de insumo-producto dos complejos simpliciales duales denominados complejo de fuentes (</w:t>
      </w:r>
      <w:r w:rsidDel="00000000" w:rsidR="00000000" w:rsidRPr="00000000">
        <w:rPr>
          <w:rFonts w:ascii="Google Sans" w:cs="Google Sans" w:eastAsia="Google Sans" w:hAnsi="Google Sans"/>
          <w:i w:val="1"/>
          <w:iCs w:val="1"/>
          <w:color w:val="1f1f1f"/>
          <w:rtl w:val="0"/>
        </w:rPr>
        <w:t xml:space="preserve">source complex</w:t>
      </w:r>
      <w:r w:rsidDel="00000000" w:rsidR="00000000" w:rsidRPr="00000000">
        <w:rPr>
          <w:rFonts w:ascii="Google Sans" w:cs="Google Sans" w:eastAsia="Google Sans" w:hAnsi="Google Sans"/>
          <w:color w:val="1f1f1f"/>
          <w:rtl w:val="0"/>
        </w:rPr>
        <w:t xml:space="preserve">) y complejo de sumideros (</w:t>
      </w:r>
      <w:r w:rsidDel="00000000" w:rsidR="00000000" w:rsidRPr="00000000">
        <w:rPr>
          <w:rFonts w:ascii="Google Sans" w:cs="Google Sans" w:eastAsia="Google Sans" w:hAnsi="Google Sans"/>
          <w:i w:val="1"/>
          <w:iCs w:val="1"/>
          <w:color w:val="1f1f1f"/>
          <w:rtl w:val="0"/>
        </w:rPr>
        <w:t xml:space="preserve">sink complex</w:t>
      </w:r>
      <w:r w:rsidDel="00000000" w:rsidR="00000000" w:rsidRPr="00000000">
        <w:rPr>
          <w:rFonts w:ascii="Google Sans" w:cs="Google Sans" w:eastAsia="Google Sans" w:hAnsi="Google Sans"/>
          <w:color w:val="1f1f1f"/>
          <w:rtl w:val="0"/>
        </w:rPr>
        <w:t xml:space="preserve">), parametrizados mediante un umbral de intensidad de flujo comercial </w:t>
      </w:r>
      <w:r w:rsidDel="00000000" w:rsidR="00000000" w:rsidRPr="00000000">
        <w:rPr>
          <w:rFonts w:ascii="Google Sans" w:cs="Google Sans" w:eastAsia="Google Sans" w:hAnsi="Google Sans"/>
          <w:color w:val="1f1f1f"/>
        </w:rPr>
        <w:drawing>
          <wp:inline distB="19050" distT="19050" distL="19050" distR="19050">
            <wp:extent cx="94357" cy="245328"/>
            <wp:effectExtent b="0" l="0" r="0" t="0"/>
            <wp:docPr id="25"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94357" cy="24532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Al calcular la homología persistente sobre esta secuencia, se obtienen diagramas de persistencia para dimensiones </w:t>
      </w:r>
      <w:r w:rsidDel="00000000" w:rsidR="00000000" w:rsidRPr="00000000">
        <w:rPr>
          <w:rFonts w:ascii="Google Sans" w:cs="Google Sans" w:eastAsia="Google Sans" w:hAnsi="Google Sans"/>
          <w:color w:val="1f1f1f"/>
        </w:rPr>
        <w:drawing>
          <wp:inline distB="19050" distT="19050" distL="19050" distR="19050">
            <wp:extent cx="241102" cy="250746"/>
            <wp:effectExtent b="0" l="0" r="0" t="0"/>
            <wp:docPr id="2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41102" cy="250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(fragmentación de agrupamientos industriales autónomos) y </w:t>
      </w:r>
      <w:r w:rsidDel="00000000" w:rsidR="00000000" w:rsidRPr="00000000">
        <w:rPr>
          <w:rFonts w:ascii="Google Sans" w:cs="Google Sans" w:eastAsia="Google Sans" w:hAnsi="Google Sans"/>
          <w:color w:val="1f1f1f"/>
        </w:rPr>
        <w:drawing>
          <wp:inline distB="19050" distT="19050" distL="19050" distR="19050">
            <wp:extent cx="212973" cy="222654"/>
            <wp:effectExtent b="0" l="0" r="0" t="0"/>
            <wp:docPr id="29"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2973" cy="222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(lazos cerrados de dependencia de suministros)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partir de los diagramas resultantes, se deriva la entropía persistente sectorial: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0761"/>
            <wp:effectExtent b="0" l="0" r="0" t="0"/>
            <wp:docPr id="31" name="image64.png"/>
            <a:graphic>
              <a:graphicData uri="http://schemas.openxmlformats.org/drawingml/2006/picture">
                <pic:pic>
                  <pic:nvPicPr>
                    <pic:cNvPr id="0" name="image64.png"/>
                    <pic:cNvPicPr preferRelativeResize="0"/>
                  </pic:nvPicPr>
                  <pic:blipFill>
                    <a:blip r:embed="rId30"/>
                    <a:srcRect b="0" l="0" r="0" t="0"/>
                    <a:stretch>
                      <a:fillRect/>
                    </a:stretch>
                  </pic:blipFill>
                  <pic:spPr>
                    <a:xfrm>
                      <a:off x="0" y="0"/>
                      <a:ext cx="5905500" cy="73076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41089" cy="244554"/>
            <wp:effectExtent b="0" l="0" r="0" t="0"/>
            <wp:docPr id="33"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141089" cy="244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58948" cy="243098"/>
            <wp:effectExtent b="0" l="0" r="0" t="0"/>
            <wp:docPr id="35"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158948" cy="243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corresponden a los umbrales de flujo en los que nacen y mueren las cavidades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Una disminución persistente en la entropía de ciclos indica una pérdida crítica de redundancia productiva, concentrando la vulnerabilidad sistémica en cadenas rígidas y cuellos de botella irremplazables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y Fuentes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empírica se apoya en las Matrices Insumo-Producto Interpaíses de la Organización para la Cooperación y el Desarrollo Económicos (OCDE ICIO Tables), complementadas con la base </w:t>
      </w:r>
      <w:r w:rsidDel="00000000" w:rsidR="00000000" w:rsidRPr="00000000">
        <w:rPr>
          <w:rFonts w:ascii="Google Sans" w:cs="Google Sans" w:eastAsia="Google Sans" w:hAnsi="Google Sans"/>
          <w:i w:val="1"/>
          <w:iCs w:val="1"/>
          <w:color w:val="1f1f1f"/>
          <w:rtl w:val="0"/>
        </w:rPr>
        <w:t xml:space="preserve">World Input-Output Database</w:t>
      </w:r>
      <w:r w:rsidDel="00000000" w:rsidR="00000000" w:rsidRPr="00000000">
        <w:rPr>
          <w:rFonts w:ascii="Google Sans" w:cs="Google Sans" w:eastAsia="Google Sans" w:hAnsi="Google Sans"/>
          <w:color w:val="1f1f1f"/>
          <w:rtl w:val="0"/>
        </w:rPr>
        <w:t xml:space="preserve"> (WIOD) y la </w:t>
      </w:r>
      <w:r w:rsidDel="00000000" w:rsidR="00000000" w:rsidRPr="00000000">
        <w:rPr>
          <w:rFonts w:ascii="Google Sans" w:cs="Google Sans" w:eastAsia="Google Sans" w:hAnsi="Google Sans"/>
          <w:i w:val="1"/>
          <w:iCs w:val="1"/>
          <w:color w:val="1f1f1f"/>
          <w:rtl w:val="0"/>
        </w:rPr>
        <w:t xml:space="preserve">Eora Global Supply Chain Database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Las tablas proporcionan flujos comerciales desagregados para múltiples sectores económicos y economías nacionales. Para las variables macroeconómicas de respuesta, se recopilan series del crecimiento del valor agregado manufacturero y los índices de precios al productor sectoriales.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Contraste Econométrico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contrastación empírica evalúa la propagación de choques mediante un modelo autorregresivo espacial y de red (</w:t>
      </w:r>
      <w:r w:rsidDel="00000000" w:rsidR="00000000" w:rsidRPr="00000000">
        <w:rPr>
          <w:rFonts w:ascii="Google Sans" w:cs="Google Sans" w:eastAsia="Google Sans" w:hAnsi="Google Sans"/>
          <w:i w:val="1"/>
          <w:iCs w:val="1"/>
          <w:color w:val="1f1f1f"/>
          <w:rtl w:val="0"/>
        </w:rPr>
        <w:t xml:space="preserve">Spatial/Network Autoregressive Model</w:t>
      </w:r>
      <w:r w:rsidDel="00000000" w:rsidR="00000000" w:rsidRPr="00000000">
        <w:rPr>
          <w:rFonts w:ascii="Google Sans" w:cs="Google Sans" w:eastAsia="Google Sans" w:hAnsi="Google Sans"/>
          <w:color w:val="1f1f1f"/>
          <w:rtl w:val="0"/>
        </w:rPr>
        <w:t xml:space="preserve">, SAR)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9351"/>
            <wp:effectExtent b="0" l="0" r="0" t="0"/>
            <wp:docPr id="37"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05500" cy="46935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229642" cy="248779"/>
            <wp:effectExtent b="0" l="0" r="0" t="0"/>
            <wp:docPr id="38"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229642" cy="2487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el vector de crecimiento del producto o inflación sectorial, </w:t>
      </w:r>
      <w:r w:rsidDel="00000000" w:rsidR="00000000" w:rsidRPr="00000000">
        <w:rPr>
          <w:rFonts w:ascii="Google Sans" w:cs="Google Sans" w:eastAsia="Google Sans" w:hAnsi="Google Sans"/>
          <w:color w:val="1f1f1f"/>
        </w:rPr>
        <w:drawing>
          <wp:inline distB="19050" distT="19050" distL="19050" distR="19050">
            <wp:extent cx="236190" cy="245638"/>
            <wp:effectExtent b="0" l="0" r="0" t="0"/>
            <wp:docPr id="39"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236190" cy="24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la matriz canónica de coeficientes técnicos de Leontief, </w:t>
      </w:r>
      <w:r w:rsidDel="00000000" w:rsidR="00000000" w:rsidRPr="00000000">
        <w:rPr>
          <w:rFonts w:ascii="Google Sans" w:cs="Google Sans" w:eastAsia="Google Sans" w:hAnsi="Google Sans"/>
          <w:color w:val="1f1f1f"/>
        </w:rPr>
        <w:drawing>
          <wp:inline distB="19050" distT="19050" distL="19050" distR="19050">
            <wp:extent cx="229642" cy="248779"/>
            <wp:effectExtent b="0" l="0" r="0" t="0"/>
            <wp:docPr id="40"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229642" cy="2487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captura controles exógenos macroeconómicos y </w:t>
      </w:r>
      <w:r w:rsidDel="00000000" w:rsidR="00000000" w:rsidRPr="00000000">
        <w:rPr>
          <w:rFonts w:ascii="Google Sans" w:cs="Google Sans" w:eastAsia="Google Sans" w:hAnsi="Google Sans"/>
          <w:color w:val="1f1f1f"/>
        </w:rPr>
        <w:drawing>
          <wp:inline distB="19050" distT="19050" distL="19050" distR="19050">
            <wp:extent cx="166092" cy="244253"/>
            <wp:effectExtent b="0" l="0" r="0" t="0"/>
            <wp:docPr id="4"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166092" cy="244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denota el vector de invariantes topológicos obtenidos mediante la homología de Dowker (incluyendo la entropía persistente </w:t>
      </w:r>
      <w:r w:rsidDel="00000000" w:rsidR="00000000" w:rsidRPr="00000000">
        <w:rPr>
          <w:rFonts w:ascii="Google Sans" w:cs="Google Sans" w:eastAsia="Google Sans" w:hAnsi="Google Sans"/>
          <w:color w:val="1f1f1f"/>
        </w:rPr>
        <w:drawing>
          <wp:inline distB="19050" distT="19050" distL="19050" distR="19050">
            <wp:extent cx="222052" cy="251015"/>
            <wp:effectExtent b="0" l="0" r="0" t="0"/>
            <wp:docPr id="6"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22052" cy="2510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índice de centralidad de ciclo </w:t>
      </w:r>
      <w:r w:rsidDel="00000000" w:rsidR="00000000" w:rsidRPr="00000000">
        <w:rPr>
          <w:rFonts w:ascii="Google Sans" w:cs="Google Sans" w:eastAsia="Google Sans" w:hAnsi="Google Sans"/>
          <w:color w:val="1f1f1f"/>
        </w:rPr>
        <w:drawing>
          <wp:inline distB="19050" distT="19050" distL="19050" distR="19050">
            <wp:extent cx="212973" cy="222654"/>
            <wp:effectExtent b="0" l="0" r="0" t="0"/>
            <wp:docPr id="8"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2973" cy="222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ejercicio econométrico consiste en probar la hipótesis nula de que los coeficientes topológicos son conjuntamente nulos (</w:t>
      </w:r>
      <w:r w:rsidDel="00000000" w:rsidR="00000000" w:rsidRPr="00000000">
        <w:rPr>
          <w:rFonts w:ascii="Google Sans" w:cs="Google Sans" w:eastAsia="Google Sans" w:hAnsi="Google Sans"/>
          <w:color w:val="1f1f1f"/>
        </w:rPr>
        <w:drawing>
          <wp:inline distB="19050" distT="19050" distL="19050" distR="19050">
            <wp:extent cx="509588" cy="245357"/>
            <wp:effectExtent b="0" l="0" r="0" t="0"/>
            <wp:docPr id="10"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09588" cy="245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Asimismo, se analiza si las economías o sectores con menor entropía persistente exhiben multiplicadores de choque de precios relativos sustancialmente mayores frente a eventos exógenos de disrupción logística o conflictos geopolíticos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Analítica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Insumo-Producto Clásico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Topológico de Dowker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Tratamiento de direccionalidad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Matrices insumo-producto ponderadas lineales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Complejos simpliciales de fuentes y sumideros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 de interacción capturado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Enlaces directos e inversas matriciales (</w:t>
            </w:r>
            <w:r w:rsidDel="00000000" w:rsidR="00000000" w:rsidRPr="00000000">
              <w:rPr>
                <w:rFonts w:ascii="Google Sans" w:cs="Google Sans" w:eastAsia="Google Sans" w:hAnsi="Google Sans"/>
                <w:color w:val="1f1f1f"/>
              </w:rPr>
              <w:drawing>
                <wp:inline distB="19050" distT="19050" distL="19050" distR="19050">
                  <wp:extent cx="661541" cy="220514"/>
                  <wp:effectExtent b="0" l="0" r="0" t="0"/>
                  <wp:docPr id="1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661541" cy="22051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Cavidades cíclicas y túneles de orden superior (</w:t>
            </w:r>
            <w:r w:rsidDel="00000000" w:rsidR="00000000" w:rsidRPr="00000000">
              <w:rPr>
                <w:rFonts w:ascii="Google Sans" w:cs="Google Sans" w:eastAsia="Google Sans" w:hAnsi="Google Sans"/>
                <w:color w:val="1f1f1f"/>
              </w:rPr>
              <w:drawing>
                <wp:inline distB="19050" distT="19050" distL="19050" distR="19050">
                  <wp:extent cx="502741" cy="218171"/>
                  <wp:effectExtent b="0" l="0" r="0" t="0"/>
                  <wp:docPr id="14" name="image63.png"/>
                  <a:graphic>
                    <a:graphicData uri="http://schemas.openxmlformats.org/drawingml/2006/picture">
                      <pic:pic>
                        <pic:nvPicPr>
                          <pic:cNvPr id="0" name="image63.png"/>
                          <pic:cNvPicPr preferRelativeResize="0"/>
                        </pic:nvPicPr>
                        <pic:blipFill>
                          <a:blip r:embed="rId40"/>
                          <a:srcRect b="0" l="0" r="0" t="0"/>
                          <a:stretch>
                            <a:fillRect/>
                          </a:stretch>
                        </pic:blipFill>
                        <pic:spPr>
                          <a:xfrm>
                            <a:off x="0" y="0"/>
                            <a:ext cx="502741" cy="218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 estructural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Índices de encadenamiento de Rasmussen-Hirschman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Entropía persistente de red y redundancia homológica</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Identificación de vulnerabilidad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Sectores con alto volumen bruto transaccional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Cuellos de botella en ciclos sin trayectorias de desvío</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3: Morfología de la Estructura Temporal de Tasas de Interés y Dinámica de la Política Monetaria</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Justificación y Relevancia Macroeconómica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 temporal de las tasas de interés es una fuente primaria de información sobre las expectativas del mercado respecto a la inflación, el crecimiento del producto y la orientación de la política monetaria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método de referencia en la literatura para resumir la dinámica de la curva de rendimientos es el modelo dinámico de Nelson-Siegel, parametrizado mediante tres factores interpretados económicamente como nivel, pendiente y curvatura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Sin embargo, en escenarios no convencionales —tales como la presencia del límite inferior cero (</w:t>
      </w:r>
      <w:r w:rsidDel="00000000" w:rsidR="00000000" w:rsidRPr="00000000">
        <w:rPr>
          <w:rFonts w:ascii="Google Sans" w:cs="Google Sans" w:eastAsia="Google Sans" w:hAnsi="Google Sans"/>
          <w:i w:val="1"/>
          <w:iCs w:val="1"/>
          <w:color w:val="1f1f1f"/>
          <w:rtl w:val="0"/>
        </w:rPr>
        <w:t xml:space="preserve">Zero Lower Bound</w:t>
      </w:r>
      <w:r w:rsidDel="00000000" w:rsidR="00000000" w:rsidRPr="00000000">
        <w:rPr>
          <w:rFonts w:ascii="Google Sans" w:cs="Google Sans" w:eastAsia="Google Sans" w:hAnsi="Google Sans"/>
          <w:color w:val="1f1f1f"/>
          <w:rtl w:val="0"/>
        </w:rPr>
        <w:t xml:space="preserve">), operaciones masivas de flexibilización cuantitativa o periodos de inversión atípica de la curva— la geometría de la estructura de plazos experimenta dobleces y compresiones locales que no pueden ser adecuadamente ajustados por combinaciones lineales de funciones exponenciales prefijadas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Modelar la estructura temporal como una variedad métrica en evolución posibilita rastrear deformaciones morfológicas complejas sin imponer restricciones sobre la curvatura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Estas perturbaciones de la variedad son capaces de advertir tensiones en la prima por plazo (</w:t>
      </w:r>
      <w:r w:rsidDel="00000000" w:rsidR="00000000" w:rsidRPr="00000000">
        <w:rPr>
          <w:rFonts w:ascii="Google Sans" w:cs="Google Sans" w:eastAsia="Google Sans" w:hAnsi="Google Sans"/>
          <w:i w:val="1"/>
          <w:iCs w:val="1"/>
          <w:color w:val="1f1f1f"/>
          <w:rtl w:val="0"/>
        </w:rPr>
        <w:t xml:space="preserve">term premium</w:t>
      </w:r>
      <w:r w:rsidDel="00000000" w:rsidR="00000000" w:rsidRPr="00000000">
        <w:rPr>
          <w:rFonts w:ascii="Google Sans" w:cs="Google Sans" w:eastAsia="Google Sans" w:hAnsi="Google Sans"/>
          <w:color w:val="1f1f1f"/>
          <w:rtl w:val="0"/>
        </w:rPr>
        <w:t xml:space="preserve">) y divergencias en la transmisión de la tasa de política monetaria hacia los instrumentos de largo plazo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Instrumental Topológico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cada fecha </w:t>
      </w:r>
      <w:r w:rsidDel="00000000" w:rsidR="00000000" w:rsidRPr="00000000">
        <w:rPr>
          <w:rFonts w:ascii="Google Sans" w:cs="Google Sans" w:eastAsia="Google Sans" w:hAnsi="Google Sans"/>
          <w:color w:val="1f1f1f"/>
        </w:rPr>
        <w:drawing>
          <wp:inline distB="19050" distT="19050" distL="19050" distR="19050">
            <wp:extent cx="70842" cy="263128"/>
            <wp:effectExtent b="0" l="0" r="0" t="0"/>
            <wp:docPr id="16"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70842" cy="263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vector transversal de rendimientos soberanos a lo largo de </w:t>
      </w:r>
      <w:r w:rsidDel="00000000" w:rsidR="00000000" w:rsidRPr="00000000">
        <w:rPr>
          <w:rFonts w:ascii="Google Sans" w:cs="Google Sans" w:eastAsia="Google Sans" w:hAnsi="Google Sans"/>
          <w:color w:val="1f1f1f"/>
        </w:rPr>
        <w:drawing>
          <wp:inline distB="19050" distT="19050" distL="19050" distR="19050">
            <wp:extent cx="180380" cy="246835"/>
            <wp:effectExtent b="0" l="0" r="0" t="0"/>
            <wp:docPr id="17"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180380" cy="24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vencimientos define un punto en el espacio euclidiano </w:t>
      </w:r>
      <w:r w:rsidDel="00000000" w:rsidR="00000000" w:rsidRPr="00000000">
        <w:rPr>
          <w:rFonts w:ascii="Google Sans" w:cs="Google Sans" w:eastAsia="Google Sans" w:hAnsi="Google Sans"/>
          <w:color w:val="1f1f1f"/>
        </w:rPr>
        <w:drawing>
          <wp:inline distB="19050" distT="19050" distL="19050" distR="19050">
            <wp:extent cx="244972" cy="216706"/>
            <wp:effectExtent b="0" l="0" r="0" t="0"/>
            <wp:docPr id="18"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244972" cy="2167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agregar estas observaciones en ventanas móviles de longitud </w:t>
      </w:r>
      <w:r w:rsidDel="00000000" w:rsidR="00000000" w:rsidRPr="00000000">
        <w:rPr>
          <w:rFonts w:ascii="Google Sans" w:cs="Google Sans" w:eastAsia="Google Sans" w:hAnsi="Google Sans"/>
          <w:color w:val="1f1f1f"/>
        </w:rPr>
        <w:drawing>
          <wp:inline distB="19050" distT="19050" distL="19050" distR="19050">
            <wp:extent cx="133499" cy="247926"/>
            <wp:effectExtent b="0" l="0" r="0" t="0"/>
            <wp:docPr id="19"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133499" cy="247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conforma una secuencia de nubes de puntos representativas de la variedad local de tasas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Sobre estas nubes se aplica la homología persistente mediante la filtración de Vietoris-Rips, obteniéndose una secuencia de diagramas de persistencia </w:t>
      </w:r>
      <w:r w:rsidDel="00000000" w:rsidR="00000000" w:rsidRPr="00000000">
        <w:rPr>
          <w:rFonts w:ascii="Google Sans" w:cs="Google Sans" w:eastAsia="Google Sans" w:hAnsi="Google Sans"/>
          <w:color w:val="1f1f1f"/>
        </w:rPr>
        <w:drawing>
          <wp:inline distB="19050" distT="19050" distL="19050" distR="19050">
            <wp:extent cx="221605" cy="250510"/>
            <wp:effectExtent b="0" l="0" r="0" t="0"/>
            <wp:docPr id="68" name="image51.png"/>
            <a:graphic>
              <a:graphicData uri="http://schemas.openxmlformats.org/drawingml/2006/picture">
                <pic:pic>
                  <pic:nvPicPr>
                    <pic:cNvPr id="0" name="image51.png"/>
                    <pic:cNvPicPr preferRelativeResize="0"/>
                  </pic:nvPicPr>
                  <pic:blipFill>
                    <a:blip r:embed="rId45"/>
                    <a:srcRect b="0" l="0" r="0" t="0"/>
                    <a:stretch>
                      <a:fillRect/>
                    </a:stretch>
                  </pic:blipFill>
                  <pic:spPr>
                    <a:xfrm>
                      <a:off x="0" y="0"/>
                      <a:ext cx="221605" cy="25051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cuantificar el cambio morfológico entre regímenes de mercado consecutivos o distantes, se computa la distancia de Wasserstein de orden </w:t>
      </w:r>
      <w:r w:rsidDel="00000000" w:rsidR="00000000" w:rsidRPr="00000000">
        <w:rPr>
          <w:rFonts w:ascii="Google Sans" w:cs="Google Sans" w:eastAsia="Google Sans" w:hAnsi="Google Sans"/>
          <w:color w:val="1f1f1f"/>
        </w:rPr>
        <w:drawing>
          <wp:inline distB="19050" distT="19050" distL="19050" distR="19050">
            <wp:extent cx="94506" cy="245715"/>
            <wp:effectExtent b="0" l="0" r="0" t="0"/>
            <wp:docPr id="71" name="image59.png"/>
            <a:graphic>
              <a:graphicData uri="http://schemas.openxmlformats.org/drawingml/2006/picture">
                <pic:pic>
                  <pic:nvPicPr>
                    <pic:cNvPr id="0" name="image59.png"/>
                    <pic:cNvPicPr preferRelativeResize="0"/>
                  </pic:nvPicPr>
                  <pic:blipFill>
                    <a:blip r:embed="rId46"/>
                    <a:srcRect b="0" l="0" r="0" t="0"/>
                    <a:stretch>
                      <a:fillRect/>
                    </a:stretch>
                  </pic:blipFill>
                  <pic:spPr>
                    <a:xfrm>
                      <a:off x="0" y="0"/>
                      <a:ext cx="94506"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entre los respectivos diagramas de persistencia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349"/>
            <wp:effectExtent b="0" l="0" r="0" t="0"/>
            <wp:docPr id="72"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5905500" cy="77234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12365" cy="243459"/>
            <wp:effectExtent b="0" l="0" r="0" t="0"/>
            <wp:docPr id="74"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112365" cy="243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recorre todas las biyecciones posibles entre los puntos de los diagramas, permitiendo emparejamientos con la diagonal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Esta distancia funcional define una métrica de velocidad geodésica topológica que cuantifica la magnitud de la reconfiguración estructural de la curva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Adicionalmente, el algoritmo Mapper permite generar grafos simplificados que mapean cómo la curva se bifurca en distintos subregímenes bajo el influjo de variables exógenas como la liquidez del balance de la banca central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y Fuentes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series requeridas comprenden los rendimientos a vencimiento constante del Tesoro de EE. UU. (</w:t>
      </w:r>
      <w:r w:rsidDel="00000000" w:rsidR="00000000" w:rsidRPr="00000000">
        <w:rPr>
          <w:rFonts w:ascii="Google Sans" w:cs="Google Sans" w:eastAsia="Google Sans" w:hAnsi="Google Sans"/>
          <w:i w:val="1"/>
          <w:iCs w:val="1"/>
          <w:color w:val="1f1f1f"/>
          <w:rtl w:val="0"/>
        </w:rPr>
        <w:t xml:space="preserve">Treasury Constant Maturity Rates</w:t>
      </w:r>
      <w:r w:rsidDel="00000000" w:rsidR="00000000" w:rsidRPr="00000000">
        <w:rPr>
          <w:rFonts w:ascii="Google Sans" w:cs="Google Sans" w:eastAsia="Google Sans" w:hAnsi="Google Sans"/>
          <w:color w:val="1f1f1f"/>
          <w:rtl w:val="0"/>
        </w:rPr>
        <w:t xml:space="preserve"> para plazos de 1M, 3M, 6M, 1Y, 2Y, 3Y, 5Y, 7Y, 10Y, 20Y y 30Y) extraídos de la base FRED. Las variables macroeconómicas asociadas incluyen la tasa efectiva de fondos federales, el índice de inflación de precios del gasto en consumo personal (PCE) y los balances totales de la Reserva Federal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Contraste Econométrico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evaluación econométrica contrasta el modelo dinámico de Nelson-Siegel estimado mediante el filtro de Kalman frente a modelos de vectores autorregresivos con umbral (</w:t>
      </w:r>
      <w:r w:rsidDel="00000000" w:rsidR="00000000" w:rsidRPr="00000000">
        <w:rPr>
          <w:rFonts w:ascii="Google Sans" w:cs="Google Sans" w:eastAsia="Google Sans" w:hAnsi="Google Sans"/>
          <w:i w:val="1"/>
          <w:iCs w:val="1"/>
          <w:color w:val="1f1f1f"/>
          <w:rtl w:val="0"/>
        </w:rPr>
        <w:t xml:space="preserve">Threshold VAR</w:t>
      </w:r>
      <w:r w:rsidDel="00000000" w:rsidR="00000000" w:rsidRPr="00000000">
        <w:rPr>
          <w:rFonts w:ascii="Google Sans" w:cs="Google Sans" w:eastAsia="Google Sans" w:hAnsi="Google Sans"/>
          <w:color w:val="1f1f1f"/>
          <w:rtl w:val="0"/>
        </w:rPr>
        <w:t xml:space="preserve">, TVAR) gobernados por topología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La especificación TVAR se formula como: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6702"/>
            <wp:effectExtent b="0" l="0" r="0" t="0"/>
            <wp:docPr id="77"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5905500" cy="73670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229642" cy="248779"/>
            <wp:effectExtent b="0" l="0" r="0" t="0"/>
            <wp:docPr id="7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229642" cy="2487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incluye la tasa de política, el producto y la inflación, y la variable de transición que define el cambio de régimen estructural es la velocidad de cambio de la distancia de Wasserstein </w:t>
      </w:r>
      <w:r w:rsidDel="00000000" w:rsidR="00000000" w:rsidRPr="00000000">
        <w:rPr>
          <w:rFonts w:ascii="Google Sans" w:cs="Google Sans" w:eastAsia="Google Sans" w:hAnsi="Google Sans"/>
          <w:color w:val="1f1f1f"/>
        </w:rPr>
        <w:drawing>
          <wp:inline distB="19050" distT="19050" distL="19050" distR="19050">
            <wp:extent cx="511820" cy="246432"/>
            <wp:effectExtent b="0" l="0" r="0" t="0"/>
            <wp:docPr id="82"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511820" cy="246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 umbral </w:t>
      </w:r>
      <w:r w:rsidDel="00000000" w:rsidR="00000000" w:rsidRPr="00000000">
        <w:rPr>
          <w:rFonts w:ascii="Google Sans" w:cs="Google Sans" w:eastAsia="Google Sans" w:hAnsi="Google Sans"/>
          <w:color w:val="1f1f1f"/>
        </w:rPr>
        <w:drawing>
          <wp:inline distB="19050" distT="19050" distL="19050" distR="19050">
            <wp:extent cx="112365" cy="243459"/>
            <wp:effectExtent b="0" l="0" r="0" t="0"/>
            <wp:docPr id="84"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112365" cy="243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estimado endógenamente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contraste evalúa si la respuesta al impulso de la política monetaria sobre la inflación y el producto exhibe asimetrías estadísticamente más marcadas cuando el cambio de régimen es gobernado por la morfología topológica de la curva que cuando se segmenta mediante la regla usual de inversión de la pendiente tradicional de la curva de rendimientos (10Y menos 2Y)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Elemento de Comparación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Marco Paramétrico de Nelson-Siegel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Marco Topológico Funcional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Representación geométrica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Superposición de tres curvas base predefinidas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Nube de puntos y homología en variedad </w:t>
            </w:r>
            <w:r w:rsidDel="00000000" w:rsidR="00000000" w:rsidRPr="00000000">
              <w:rPr>
                <w:rFonts w:ascii="Google Sans" w:cs="Google Sans" w:eastAsia="Google Sans" w:hAnsi="Google Sans"/>
                <w:color w:val="1f1f1f"/>
              </w:rPr>
              <w:drawing>
                <wp:inline distB="19050" distT="19050" distL="19050" distR="19050">
                  <wp:extent cx="244972" cy="216706"/>
                  <wp:effectExtent b="0" l="0" r="0" t="0"/>
                  <wp:docPr id="86"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244972" cy="21670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Sensibilidad a regímenes no lineales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Limitada por la forma funcional exponencial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Elevada frente a quiebres en el límite inferior cero</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 de transición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Variación de los factores latentes </w:t>
            </w:r>
            <w:r w:rsidDel="00000000" w:rsidR="00000000" w:rsidRPr="00000000">
              <w:rPr>
                <w:rFonts w:ascii="Google Sans" w:cs="Google Sans" w:eastAsia="Google Sans" w:hAnsi="Google Sans"/>
                <w:color w:val="1f1f1f"/>
              </w:rPr>
              <w:drawing>
                <wp:inline distB="19050" distT="19050" distL="19050" distR="19050">
                  <wp:extent cx="654992" cy="218331"/>
                  <wp:effectExtent b="0" l="0" r="0" t="0"/>
                  <wp:docPr id="88" name="image56.png"/>
                  <a:graphic>
                    <a:graphicData uri="http://schemas.openxmlformats.org/drawingml/2006/picture">
                      <pic:pic>
                        <pic:nvPicPr>
                          <pic:cNvPr id="0" name="image56.png"/>
                          <pic:cNvPicPr preferRelativeResize="0"/>
                        </pic:nvPicPr>
                        <pic:blipFill>
                          <a:blip r:embed="rId51"/>
                          <a:srcRect b="0" l="0" r="0" t="0"/>
                          <a:stretch>
                            <a:fillRect/>
                          </a:stretch>
                        </pic:blipFill>
                        <pic:spPr>
                          <a:xfrm>
                            <a:off x="0" y="0"/>
                            <a:ext cx="654992" cy="21833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Distancia de Wasserstein y grafos Mapper</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Aplicación empírica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Suavizamiento y pronóstico lineal de rendimientos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Detección de bifurcaciones y umbrales en modelos TVAR</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4: Contagio Financiero Multivariable y Rupturas Estructurales frente al Enfoque de Spillovers de Diebold-Yilmaz</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Justificación y Relevancia Macroeconómica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transmisión transfronteriza y transectorial del riesgo sistémico representa un foco prioritario para las autoridades macroprudenciales y los bancos centrales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instrumental dominante en la literatura macroeconométrica es la metodología de derrame de volatilidad (</w:t>
      </w:r>
      <w:r w:rsidDel="00000000" w:rsidR="00000000" w:rsidRPr="00000000">
        <w:rPr>
          <w:rFonts w:ascii="Google Sans" w:cs="Google Sans" w:eastAsia="Google Sans" w:hAnsi="Google Sans"/>
          <w:i w:val="1"/>
          <w:iCs w:val="1"/>
          <w:color w:val="1f1f1f"/>
          <w:rtl w:val="0"/>
        </w:rPr>
        <w:t xml:space="preserve">spillover index</w:t>
      </w:r>
      <w:r w:rsidDel="00000000" w:rsidR="00000000" w:rsidRPr="00000000">
        <w:rPr>
          <w:rFonts w:ascii="Google Sans" w:cs="Google Sans" w:eastAsia="Google Sans" w:hAnsi="Google Sans"/>
          <w:color w:val="1f1f1f"/>
          <w:rtl w:val="0"/>
        </w:rPr>
        <w:t xml:space="preserve">) formulada por Diebold y Yilmaz (2009, 2012), la cual computa el porcentaje de la varianza del error de pronóstico atribuible a innovaciones originadas en otras variables dentro de un modelo VAR multivariado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No obstante, el esquema de Diebold-Yilmaz enfrenta rigideces estructurales: requiere estimar un número cuadrático de parámetros respecto a las variables incluidas, asume simetría en la dinámica interna de las perturbaciones y suele registrar las señales de contagio de manera concomitante o rezagada respecto a la volatilidad implícita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homológico de matrices de correlación dinámica ofrece una perspectiva predictiva alternativa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 anterioridad a los episodios de crisis sistémica, los activos financieros o las variables monetarias experimentan una alineación de trayectorias inducida por la aversión al riesgo y el comportamiento de rebaño de los inversionistas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 compresión no necesariamente se manifiesta de inmediato en un incremento en el nivel promedio de la correlación, sino que altera de forma anticipada la geometría de los grupos conexos y destruye de manera selectiva los ciclos homológicos (</w:t>
      </w:r>
      <w:r w:rsidDel="00000000" w:rsidR="00000000" w:rsidRPr="00000000">
        <w:rPr>
          <w:rFonts w:ascii="Google Sans" w:cs="Google Sans" w:eastAsia="Google Sans" w:hAnsi="Google Sans"/>
          <w:color w:val="1f1f1f"/>
        </w:rPr>
        <w:drawing>
          <wp:inline distB="19050" distT="19050" distL="19050" distR="19050">
            <wp:extent cx="212973" cy="222654"/>
            <wp:effectExtent b="0" l="0" r="0" t="0"/>
            <wp:docPr id="6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2973" cy="222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fenómeno documentado en la física económica como condensación o estrés topológico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Evaluar este proceso supera las debilidades del VAR ante choques sistémicos severos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Instrumental Topológico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proceso metodológico sustituye las matrices de covarianza lineal por un espacio métrico de correlaciones dinámicas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un conjunto de </w:t>
      </w:r>
      <w:r w:rsidDel="00000000" w:rsidR="00000000" w:rsidRPr="00000000">
        <w:rPr>
          <w:rFonts w:ascii="Google Sans" w:cs="Google Sans" w:eastAsia="Google Sans" w:hAnsi="Google Sans"/>
          <w:color w:val="1f1f1f"/>
        </w:rPr>
        <w:drawing>
          <wp:inline distB="19050" distT="19050" distL="19050" distR="19050">
            <wp:extent cx="157609" cy="213236"/>
            <wp:effectExtent b="0" l="0" r="0" t="0"/>
            <wp:docPr id="43"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157609" cy="213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series de rendimientos o diferenciales de riesgo, se obtiene la matriz de correlación condicional </w:t>
      </w:r>
      <w:r w:rsidDel="00000000" w:rsidR="00000000" w:rsidRPr="00000000">
        <w:rPr>
          <w:rFonts w:ascii="Google Sans" w:cs="Google Sans" w:eastAsia="Google Sans" w:hAnsi="Google Sans"/>
          <w:color w:val="1f1f1f"/>
        </w:rPr>
        <w:drawing>
          <wp:inline distB="19050" distT="19050" distL="19050" distR="19050">
            <wp:extent cx="208062" cy="245892"/>
            <wp:effectExtent b="0" l="0" r="0" t="0"/>
            <wp:docPr id="44"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208062" cy="245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través de ventanas rodantes o mediante modelos DCC-GARCH</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 distancia ultramétrica entre las variables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45"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91976" cy="239137"/>
            <wp:effectExtent b="0" l="0" r="0" t="0"/>
            <wp:docPr id="47"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91976" cy="239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define como: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46586"/>
            <wp:effectExtent b="0" l="0" r="0" t="0"/>
            <wp:docPr id="49"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5905500" cy="54658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constituyendo un espacio métrico finito </w:t>
      </w:r>
      <w:r w:rsidDel="00000000" w:rsidR="00000000" w:rsidRPr="00000000">
        <w:rPr>
          <w:rFonts w:ascii="Google Sans" w:cs="Google Sans" w:eastAsia="Google Sans" w:hAnsi="Google Sans"/>
          <w:color w:val="1f1f1f"/>
        </w:rPr>
        <w:drawing>
          <wp:inline distB="19050" distT="19050" distL="19050" distR="19050">
            <wp:extent cx="563314" cy="248240"/>
            <wp:effectExtent b="0" l="0" r="0" t="0"/>
            <wp:docPr id="51"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563314" cy="248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sobre el cual se despliega una filtración de Vietoris-Rips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partir de los diagramas de persistencia calculados en cada ventana temporal, se extraen dos métricas complementarias: la norma </w:t>
      </w:r>
      <w:r w:rsidDel="00000000" w:rsidR="00000000" w:rsidRPr="00000000">
        <w:rPr>
          <w:rFonts w:ascii="Google Sans" w:cs="Google Sans" w:eastAsia="Google Sans" w:hAnsi="Google Sans"/>
          <w:color w:val="1f1f1f"/>
        </w:rPr>
        <w:drawing>
          <wp:inline distB="19050" distT="19050" distL="19050" distR="19050">
            <wp:extent cx="211783" cy="250289"/>
            <wp:effectExtent b="0" l="0" r="0" t="0"/>
            <wp:docPr id="53"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211783" cy="250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los paisajes de persistencia en dimensión uno, y el momentum del nacimiento promedio ponderado de los ciclos homológicos (</w:t>
      </w:r>
      <w:r w:rsidDel="00000000" w:rsidR="00000000" w:rsidRPr="00000000">
        <w:rPr>
          <w:rFonts w:ascii="Google Sans" w:cs="Google Sans" w:eastAsia="Google Sans" w:hAnsi="Google Sans"/>
          <w:color w:val="1f1f1f"/>
        </w:rPr>
        <w:drawing>
          <wp:inline distB="19050" distT="19050" distL="19050" distR="19050">
            <wp:extent cx="964702" cy="248339"/>
            <wp:effectExtent b="0" l="0" r="0" t="0"/>
            <wp:docPr id="55"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964702" cy="2483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indicador de nacimiento promedio se especifica como: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1350"/>
            <wp:effectExtent b="0" l="0" r="0" t="0"/>
            <wp:docPr id="57"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5905500" cy="6713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41089" cy="244554"/>
            <wp:effectExtent b="0" l="0" r="0" t="0"/>
            <wp:docPr id="41"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141089" cy="244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539502" cy="246088"/>
            <wp:effectExtent b="0" l="0" r="0" t="0"/>
            <wp:docPr id="42"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539502" cy="2460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el nacimiento y la persistencia del ciclo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23"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Un desplazamiento significativo en el momentum de esta métrica refleja que la red de interdependencia está entrando en una fase de contracción geométrica crítica, generando una señal de alerta previa a la materialización del contagio en los mercados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y Fuentes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marco de datos comprende cotizaciones diarias de los índices sectoriales bursátiles de Estados Unidos y Europa, diferenciales de tasas de swaps de incumplimiento crediticio soberano y bancario (CDS), y tipos de cambio representativos de economías avanzadas y emergentes provistos por el Banco de Pagos Internacionales (BIS) y la plataforma Yahoo Finance API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muestra temporal se estructura para cubrir episodios de choque internacional: el colapso financiero de 2008, la crisis europea de 2011, la caída por la pandemia de 2020 y el endurecimiento monetario de 2022-2023</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Contraste Econométrico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validación empírica compara el contenido informativo marginal de las métricas topológicas frente al índice total de derrames de Diebold-Yilmaz (DY)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El primer contraste formal se realiza mediante pruebas de causalidad en el sentido de Granger en media y en varianza, evaluando si el vector de normas topológicas causa al índice DY y a las medidas de volatilidad realizada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segundo contraste emplea modelos Logit para la detección de eventos de estrés extremo fuera de muestra: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0761"/>
            <wp:effectExtent b="0" l="0" r="0" t="0"/>
            <wp:docPr id="24"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5905500" cy="73076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365225" cy="249891"/>
            <wp:effectExtent b="0" l="0" r="0" t="0"/>
            <wp:docPr id="26"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365225" cy="249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una variable indicadora de turbulencia sistémica definida como la realización de la volatilidad en el percentil superior 95</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 analizan la precisión predictiva, los falsos positivos y la ganancia temporal (medida en días o semanas de antelación), contrastando si el marco topológico neutraliza la colinealidad intrínseca que afecta a las estimaciones lineales basadas en el VAR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 de Análisis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Índice de Spillover de Diebold-Yilmaz</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Marco de Homología Persistente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Supuesto de interdependencia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 lineal VAR con perturbaciones gaussianas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Geometría no paramétrica de dependencias multivariadas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Mecanismo de agregación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Descomposición generalizada de varianza (GFEVD)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Filtración de complejos simpliciales y sumas de persistencia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Diagnóstico del riesgo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Derrame neto e interconexión contemporánea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Detección previa de compresión y rigidez estructural</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Restricción muestral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Rápida pérdida de grados de libertad ante </w:t>
            </w:r>
            <w:r w:rsidDel="00000000" w:rsidR="00000000" w:rsidRPr="00000000">
              <w:rPr>
                <w:rFonts w:ascii="Google Sans" w:cs="Google Sans" w:eastAsia="Google Sans" w:hAnsi="Google Sans"/>
                <w:color w:val="1f1f1f"/>
              </w:rPr>
              <w:drawing>
                <wp:inline distB="19050" distT="19050" distL="19050" distR="19050">
                  <wp:extent cx="157609" cy="213236"/>
                  <wp:effectExtent b="0" l="0" r="0" t="0"/>
                  <wp:docPr id="28"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157609" cy="213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grande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Invariante a la dimensionalidad; escalable a grandes paneles</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5: Pronóstico Macroeconómico de Alta Dimensión con FRED-MD Mediante Regularización Topológica</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Justificación y Relevancia Macroeconómica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macroeconometría orientada a la proyección de variables agregadas opera de forma creciente en entornos de alta dimensión (</w:t>
      </w:r>
      <w:r w:rsidDel="00000000" w:rsidR="00000000" w:rsidRPr="00000000">
        <w:rPr>
          <w:rFonts w:ascii="Google Sans" w:cs="Google Sans" w:eastAsia="Google Sans" w:hAnsi="Google Sans"/>
          <w:i w:val="1"/>
          <w:iCs w:val="1"/>
          <w:color w:val="1f1f1f"/>
          <w:rtl w:val="0"/>
        </w:rPr>
        <w:t xml:space="preserve">big data macroeconomics</w:t>
      </w:r>
      <w:r w:rsidDel="00000000" w:rsidR="00000000" w:rsidRPr="00000000">
        <w:rPr>
          <w:rFonts w:ascii="Google Sans" w:cs="Google Sans" w:eastAsia="Google Sans" w:hAnsi="Google Sans"/>
          <w:color w:val="1f1f1f"/>
          <w:rtl w:val="0"/>
        </w:rPr>
        <w:t xml:space="preserve">), en los cuales el número de series temporales disponibles supera ampliamente el tamaño temporal de las muestras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protocolo estándar de la literatura —popularizado por Stock y Watson y consolidado mediante bases como FRED-MD elaborada por McCracken y Ng— consiste en comprimir la varianza común de más de un centenar de indicadores mediante Modelos de Factores Dinámicos (DFM) lineales o a través de penalizaciones tipo LASSO y Elastic Net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 su eficiencia, estos métodos asumen que las variables macroeconómicas se distribuyen en hiperplanos euclidianos y que la dinámica estructural es invariante a lo largo de los ciclos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 embargo, la interacción coordinada entre agregados monetarios, precios y mercado laboral genera configuraciones topológicas en el espacio de estados que varían según la severidad del contexto macroeconómico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Extraer características morfológicas del panel completo e insertarlas en modelos econométricos permite retener la información no lineal sin incurrir en la maldición de la dimensionalidad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Instrumental Topológico</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cada momento del tiempo </w:t>
      </w:r>
      <w:r w:rsidDel="00000000" w:rsidR="00000000" w:rsidRPr="00000000">
        <w:rPr>
          <w:rFonts w:ascii="Google Sans" w:cs="Google Sans" w:eastAsia="Google Sans" w:hAnsi="Google Sans"/>
          <w:color w:val="1f1f1f"/>
        </w:rPr>
        <w:drawing>
          <wp:inline distB="19050" distT="19050" distL="19050" distR="19050">
            <wp:extent cx="70842" cy="263128"/>
            <wp:effectExtent b="0" l="0" r="0" t="0"/>
            <wp:docPr id="30"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70842" cy="263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corte transversal normalizado de las </w:t>
      </w:r>
      <w:r w:rsidDel="00000000" w:rsidR="00000000" w:rsidRPr="00000000">
        <w:rPr>
          <w:rFonts w:ascii="Google Sans" w:cs="Google Sans" w:eastAsia="Google Sans" w:hAnsi="Google Sans"/>
          <w:color w:val="1f1f1f"/>
        </w:rPr>
        <w:drawing>
          <wp:inline distB="19050" distT="19050" distL="19050" distR="19050">
            <wp:extent cx="180380" cy="246835"/>
            <wp:effectExtent b="0" l="0" r="0" t="0"/>
            <wp:docPr id="32"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180380" cy="24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series macroeconómicas de FRED-MD representa un punto en un espacio métrico de alta dimensión, conformando una trayectoria temporal de estados económicos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Para transformar esta dinámica en descriptores topológicos compatibles con técnicas de estimación supervisada, se aplican sobre ventanas móviles dos mecanismos de vectorización: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curvas de Betti, que corresponden a funciones discretas </w:t>
      </w:r>
      <w:r w:rsidDel="00000000" w:rsidR="00000000" w:rsidRPr="00000000">
        <w:rPr>
          <w:rFonts w:ascii="Google Sans" w:cs="Google Sans" w:eastAsia="Google Sans" w:hAnsi="Google Sans"/>
          <w:color w:val="1f1f1f"/>
        </w:rPr>
        <w:drawing>
          <wp:inline distB="19050" distT="19050" distL="19050" distR="19050">
            <wp:extent cx="424309" cy="245156"/>
            <wp:effectExtent b="0" l="0" r="0" t="0"/>
            <wp:docPr id="34"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424309" cy="245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computan el conteo de agujeros topológicos en dimensión </w:t>
      </w:r>
      <w:r w:rsidDel="00000000" w:rsidR="00000000" w:rsidRPr="00000000">
        <w:rPr>
          <w:rFonts w:ascii="Google Sans" w:cs="Google Sans" w:eastAsia="Google Sans" w:hAnsi="Google Sans"/>
          <w:color w:val="1f1f1f"/>
        </w:rPr>
        <w:drawing>
          <wp:inline distB="19050" distT="19050" distL="19050" distR="19050">
            <wp:extent cx="101947" cy="240966"/>
            <wp:effectExtent b="0" l="0" r="0" t="0"/>
            <wp:docPr id="36"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101947" cy="240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función del radio de filtración </w:t>
      </w:r>
      <w:r w:rsidDel="00000000" w:rsidR="00000000" w:rsidRPr="00000000">
        <w:rPr>
          <w:rFonts w:ascii="Google Sans" w:cs="Google Sans" w:eastAsia="Google Sans" w:hAnsi="Google Sans"/>
          <w:color w:val="1f1f1f"/>
        </w:rPr>
        <w:drawing>
          <wp:inline distB="19050" distT="19050" distL="19050" distR="19050">
            <wp:extent cx="79623" cy="258775"/>
            <wp:effectExtent b="0" l="0" r="0" t="0"/>
            <wp:docPr id="20" name="image14.png"/>
            <a:graphic>
              <a:graphicData uri="http://schemas.openxmlformats.org/drawingml/2006/picture">
                <pic:pic>
                  <pic:nvPicPr>
                    <pic:cNvPr id="0" name="image14.png"/>
                    <pic:cNvPicPr preferRelativeResize="0"/>
                  </pic:nvPicPr>
                  <pic:blipFill>
                    <a:blip r:embed="rId65"/>
                    <a:srcRect b="0" l="0" r="0" t="0"/>
                    <a:stretch>
                      <a:fillRect/>
                    </a:stretch>
                  </pic:blipFill>
                  <pic:spPr>
                    <a:xfrm>
                      <a:off x="0" y="0"/>
                      <a:ext cx="79623" cy="25877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Las imágenes de persistencia (</w:t>
      </w:r>
      <w:r w:rsidDel="00000000" w:rsidR="00000000" w:rsidRPr="00000000">
        <w:rPr>
          <w:rFonts w:ascii="Google Sans" w:cs="Google Sans" w:eastAsia="Google Sans" w:hAnsi="Google Sans"/>
          <w:i w:val="1"/>
          <w:iCs w:val="1"/>
          <w:color w:val="1f1f1f"/>
          <w:rtl w:val="0"/>
        </w:rPr>
        <w:t xml:space="preserve">persistence images</w:t>
      </w:r>
      <w:r w:rsidDel="00000000" w:rsidR="00000000" w:rsidRPr="00000000">
        <w:rPr>
          <w:rFonts w:ascii="Google Sans" w:cs="Google Sans" w:eastAsia="Google Sans" w:hAnsi="Google Sans"/>
          <w:color w:val="1f1f1f"/>
          <w:rtl w:val="0"/>
        </w:rPr>
        <w:t xml:space="preserve">), las cuales transforman el diagrama de persistencia en una superficie continua mediante la convolución de núcleos gaussianos ponderados por la vida de cada característica homológica, discretizándola posteriormente en una matriz o vector de píxeles estandarizados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diferencia de los resúmenes puramente univariados, las imágenes de persistencia preservan la dispersión multiescala de los datos macroeconómicos, transformando configuraciones cualitativas en variables numéricas estructuradas para el análisis econométrico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y Fuentes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fuente empírica exclusiva es la base de datos de investigación macroeconómica mensual FRED-MD, desarrollada por el Banco de la Reserva Federal de San Luis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base abarca aproximadamente 128 variables agregadas categorizadas en ocho grupos: producto e ingreso, mercado laboral, vivienda, consumo y órdenes, dinero y crédito, tasas de interés y tipos de cambio, precios e índices bursátiles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Como variables diana para el pronóstico se seleccionan la inflación medida por el Índice de Precios al Consumidor (IPC), el deflactor del consumo personal (PCE) y el crecimiento del producto industrial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Contraste Econométrico</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evaluación metodológica se formula mediante una arquitectura de Regresión Aumentada por Factores y Topología (</w:t>
      </w:r>
      <w:r w:rsidDel="00000000" w:rsidR="00000000" w:rsidRPr="00000000">
        <w:rPr>
          <w:rFonts w:ascii="Google Sans" w:cs="Google Sans" w:eastAsia="Google Sans" w:hAnsi="Google Sans"/>
          <w:i w:val="1"/>
          <w:iCs w:val="1"/>
          <w:color w:val="1f1f1f"/>
          <w:rtl w:val="0"/>
        </w:rPr>
        <w:t xml:space="preserve">Factor-Augmented Topological Regression</w:t>
      </w:r>
      <w:r w:rsidDel="00000000" w:rsidR="00000000" w:rsidRPr="00000000">
        <w:rPr>
          <w:rFonts w:ascii="Google Sans" w:cs="Google Sans" w:eastAsia="Google Sans" w:hAnsi="Google Sans"/>
          <w:color w:val="1f1f1f"/>
          <w:rtl w:val="0"/>
        </w:rPr>
        <w:t xml:space="preserve">, FATR):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8585"/>
            <wp:effectExtent b="0" l="0" r="0" t="0"/>
            <wp:docPr id="21"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5905500" cy="74858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358825" cy="245512"/>
            <wp:effectExtent b="0" l="0" r="0" t="0"/>
            <wp:docPr id="22"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358825" cy="245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la variable macroeconómica a pronosticar en el horizonte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3942" cy="248403"/>
            <wp:effectExtent b="0" l="0" r="0" t="0"/>
            <wp:docPr id="5" name="image30.png"/>
            <a:graphic>
              <a:graphicData uri="http://schemas.openxmlformats.org/drawingml/2006/picture">
                <pic:pic>
                  <pic:nvPicPr>
                    <pic:cNvPr id="0" name="image30.png"/>
                    <pic:cNvPicPr preferRelativeResize="0"/>
                  </pic:nvPicPr>
                  <pic:blipFill>
                    <a:blip r:embed="rId68"/>
                    <a:srcRect b="0" l="0" r="0" t="0"/>
                    <a:stretch>
                      <a:fillRect/>
                    </a:stretch>
                  </pic:blipFill>
                  <pic:spPr>
                    <a:xfrm>
                      <a:off x="0" y="0"/>
                      <a:ext cx="343942" cy="2484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los factores lineales tradicionales estimados vía componentes principales estáticos, y </w:t>
      </w:r>
      <w:r w:rsidDel="00000000" w:rsidR="00000000" w:rsidRPr="00000000">
        <w:rPr>
          <w:rFonts w:ascii="Google Sans" w:cs="Google Sans" w:eastAsia="Google Sans" w:hAnsi="Google Sans"/>
          <w:color w:val="1f1f1f"/>
        </w:rPr>
        <w:drawing>
          <wp:inline distB="19050" distT="19050" distL="19050" distR="19050">
            <wp:extent cx="457795" cy="247972"/>
            <wp:effectExtent b="0" l="0" r="0" t="0"/>
            <wp:docPr id="7" name="image11.png"/>
            <a:graphic>
              <a:graphicData uri="http://schemas.openxmlformats.org/drawingml/2006/picture">
                <pic:pic>
                  <pic:nvPicPr>
                    <pic:cNvPr id="0" name="image11.png"/>
                    <pic:cNvPicPr preferRelativeResize="0"/>
                  </pic:nvPicPr>
                  <pic:blipFill>
                    <a:blip r:embed="rId69"/>
                    <a:srcRect b="0" l="0" r="0" t="0"/>
                    <a:stretch>
                      <a:fillRect/>
                    </a:stretch>
                  </pic:blipFill>
                  <pic:spPr>
                    <a:xfrm>
                      <a:off x="0" y="0"/>
                      <a:ext cx="457795" cy="247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vector regularizado de coeficientes de las imágenes de persistencia o curvas de Betti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contraste empírico se evalúa frente a tres especificaciones de referencia: un modelo autorregresivo univariado (AR), el modelo de factores dinámicos clásico (DFM) y un modelo Elastic Net tradicional que emplea directamente el panel de 128 variables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desempeño se contrasta en un entorno de pronóstico fuera de muestra rodante mediante la Raíz del Error Cuadrático Medio de Pronóstico (RMSFE) y la prueba de Diebold-Mariano para diferencias en precisión predictiva, verificando si las características topológicas reducen de manera estadísticamente significativa los errores durante episodios de alta volatilidad macroeconómica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Evaluado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Estructura de Reducción Dimensional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Captura de No Linealidad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Regularización Matemática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Ninguna (univariada pura)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Criterios de información AIC/BIC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DFM (Stock &amp; Watson)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Proyecciones lineales vía PCA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Restringida a combinaciones lineales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Ortogonalidad de factores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Elastic Net Directo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Selección y contracción de variables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Asume aditividad lineal de regresores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Penalización mixta </w:t>
            </w:r>
            <w:r w:rsidDel="00000000" w:rsidR="00000000" w:rsidRPr="00000000">
              <w:rPr>
                <w:rFonts w:ascii="Google Sans" w:cs="Google Sans" w:eastAsia="Google Sans" w:hAnsi="Google Sans"/>
                <w:color w:val="1f1f1f"/>
              </w:rPr>
              <w:drawing>
                <wp:inline distB="19050" distT="19050" distL="19050" distR="19050">
                  <wp:extent cx="187077" cy="215138"/>
                  <wp:effectExtent b="0" l="0" r="0" t="0"/>
                  <wp:docPr id="9"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187077" cy="215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87077" cy="215138"/>
                  <wp:effectExtent b="0" l="0" r="0" t="0"/>
                  <wp:docPr id="11"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187077" cy="215138"/>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FATR Propuesto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Híbrida: Factores Lineales + TDA</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Alta (representación multiescala de la forma)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Regularización sobre imágenes de persistencia</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 Comparativo de Viabilidad y Especificación Metodológica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una investigación de licenciatura requiere compatibilizar la sofisticación analítica con la factibilidad computacional y la disponibilidad de datos de acceso libre. La siguiente matriz resume las cinco propuestas, delimitando su complejidad técnica, las fuentes empíricas y el entorno de software idóneo para su ejecución.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Propuesta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Matemática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Herramienta TDA Principal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Conjunto de Datos Sugerido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Marco Econométrico de Contraste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Entorno Computacional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Recesiones y Ciclos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Takens Embedding + Paisajes de Persistencia (</w:t>
            </w:r>
            <w:r w:rsidDel="00000000" w:rsidR="00000000" w:rsidRPr="00000000">
              <w:rPr>
                <w:rFonts w:ascii="Google Sans" w:cs="Google Sans" w:eastAsia="Google Sans" w:hAnsi="Google Sans"/>
                <w:color w:val="1f1f1f"/>
              </w:rPr>
              <w:drawing>
                <wp:inline distB="19050" distT="19050" distL="19050" distR="19050">
                  <wp:extent cx="212973" cy="222654"/>
                  <wp:effectExtent b="0" l="0" r="0" t="0"/>
                  <wp:docPr id="13"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2973" cy="222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FRED (Tasas, Producción, Desempleo)</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Probit Dinámico / Markov-Switching AR</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(giotto-tda, statsmodels)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Redes Insumo-Producto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Complejos Asimétricos de Dowker + Entropía</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OECD ICIO / WIOD Database</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Inversa de Leontief / Modelos SAR en Red</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(TDAstats, igraph, spatialreg)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Curva de Rendimientos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Moderada-Alta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Distancias de Wasserstein / Mapper</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FRED (Treasury Yield Curves)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Nelson-Siegel Dinámico / TVP-VAR</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(ripser, persim, scikit-tda)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Contagio Financiero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Filtración Vietoris-Rips sobre Correlaciones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BIS (Divisas) / Mercados Sectoriales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Índice de Spillover Diebold-Yilmaz (VAR)</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Python/R (gudhi, vars)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Pronóstico con Fred-MD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Imágenes de Persistencia / Curvas de Betti</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FRED-MD (Panel Macroeconómico Masivo)</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Modelos de Factores Dinámicos / LASSO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(scikit-learn, giotto-tda)</w:t>
            </w:r>
          </w:p>
        </w:tc>
      </w:tr>
    </w:tbl>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Directrices de Implementación y Rigor Econométrico</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que la tesis mantenga el estándar exigido en la investigación económica aplicada y evite sesgos metodológicos recurrentes, el estudiante debe estructurar el trabajo bajo tres directrices fundamentales: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Disciplina de Inferencia y Validación Estadística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Uno de los principales riesgos en el uso de herramientas topológicas radica en derivar interpretaciones causales o estructurales a partir de diagramas meramente descriptivos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Dado que los estimadores topológicos no cuentan en todos los casos con distribuciones asintóticas normales estándar bajo hipótesis nulas de interés económico, resulta indispensable recurrir a métodos de remuestreo computacional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 deben aplicar pruebas de permutación no paramétricas (</w:t>
      </w:r>
      <w:r w:rsidDel="00000000" w:rsidR="00000000" w:rsidRPr="00000000">
        <w:rPr>
          <w:rFonts w:ascii="Google Sans" w:cs="Google Sans" w:eastAsia="Google Sans" w:hAnsi="Google Sans"/>
          <w:i w:val="1"/>
          <w:iCs w:val="1"/>
          <w:color w:val="1f1f1f"/>
          <w:rtl w:val="0"/>
        </w:rPr>
        <w:t xml:space="preserve">permutation tests</w:t>
      </w:r>
      <w:r w:rsidDel="00000000" w:rsidR="00000000" w:rsidRPr="00000000">
        <w:rPr>
          <w:rFonts w:ascii="Google Sans" w:cs="Google Sans" w:eastAsia="Google Sans" w:hAnsi="Google Sans"/>
          <w:color w:val="1f1f1f"/>
          <w:rtl w:val="0"/>
        </w:rPr>
        <w:t xml:space="preserve">) o esquemas de arranque estocástico (</w:t>
      </w:r>
      <w:r w:rsidDel="00000000" w:rsidR="00000000" w:rsidRPr="00000000">
        <w:rPr>
          <w:rFonts w:ascii="Google Sans" w:cs="Google Sans" w:eastAsia="Google Sans" w:hAnsi="Google Sans"/>
          <w:i w:val="1"/>
          <w:iCs w:val="1"/>
          <w:color w:val="1f1f1f"/>
          <w:rtl w:val="0"/>
        </w:rPr>
        <w:t xml:space="preserve">bootstrap</w:t>
      </w:r>
      <w:r w:rsidDel="00000000" w:rsidR="00000000" w:rsidRPr="00000000">
        <w:rPr>
          <w:rFonts w:ascii="Google Sans" w:cs="Google Sans" w:eastAsia="Google Sans" w:hAnsi="Google Sans"/>
          <w:color w:val="1f1f1f"/>
          <w:rtl w:val="0"/>
        </w:rPr>
        <w:t xml:space="preserve">) basados en remuestreo de bloques temporales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Estas pruebas permiten verificar formalmente si las métricas de persistencia obtenidas a partir de los datos observados son estadísticamente distinguibles de aquellas generadas por procesos nulos lineales, tales como caminatas aleatorias o procesos de ruido gaussiano correlacionado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Prevención de la Filtración Temporal (</w:t>
      </w:r>
      <w:r w:rsidDel="00000000" w:rsidR="00000000" w:rsidRPr="00000000">
        <w:rPr>
          <w:rFonts w:ascii="Google Sans" w:cs="Google Sans" w:eastAsia="Google Sans" w:hAnsi="Google Sans"/>
          <w:b w:val="1"/>
          <w:bCs w:val="1"/>
          <w:i w:val="1"/>
          <w:iCs w:val="1"/>
          <w:color w:val="1f1f1f"/>
          <w:sz w:val="28"/>
          <w:szCs w:val="28"/>
          <w:rtl w:val="0"/>
        </w:rPr>
        <w:t xml:space="preserve">Look-Ahead Bias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análisis predictivo de series temporales, el preprocesamiento geométrico introduce riesgos severos de fuga de información si no se maneja estrictamente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selección de hiperparámetros topológicos —incluyendo el retardo de Takens </w:t>
      </w:r>
      <w:r w:rsidDel="00000000" w:rsidR="00000000" w:rsidRPr="00000000">
        <w:rPr>
          <w:rFonts w:ascii="Google Sans" w:cs="Google Sans" w:eastAsia="Google Sans" w:hAnsi="Google Sans"/>
          <w:color w:val="1f1f1f"/>
        </w:rPr>
        <w:drawing>
          <wp:inline distB="19050" distT="19050" distL="19050" distR="19050">
            <wp:extent cx="107900" cy="255037"/>
            <wp:effectExtent b="0" l="0" r="0" t="0"/>
            <wp:docPr id="1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07900" cy="255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dimensión de inmersión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los radios de filtración </w:t>
      </w:r>
      <w:r w:rsidDel="00000000" w:rsidR="00000000" w:rsidRPr="00000000">
        <w:rPr>
          <w:rFonts w:ascii="Google Sans" w:cs="Google Sans" w:eastAsia="Google Sans" w:hAnsi="Google Sans"/>
          <w:color w:val="1f1f1f"/>
        </w:rPr>
        <w:drawing>
          <wp:inline distB="19050" distT="19050" distL="19050" distR="19050">
            <wp:extent cx="79623" cy="258775"/>
            <wp:effectExtent b="0" l="0" r="0" t="0"/>
            <wp:docPr id="2" name="image14.png"/>
            <a:graphic>
              <a:graphicData uri="http://schemas.openxmlformats.org/drawingml/2006/picture">
                <pic:pic>
                  <pic:nvPicPr>
                    <pic:cNvPr id="0" name="image14.png"/>
                    <pic:cNvPicPr preferRelativeResize="0"/>
                  </pic:nvPicPr>
                  <pic:blipFill>
                    <a:blip r:embed="rId65"/>
                    <a:srcRect b="0" l="0" r="0" t="0"/>
                    <a:stretch>
                      <a:fillRect/>
                    </a:stretch>
                  </pic:blipFill>
                  <pic:spPr>
                    <a:xfrm>
                      <a:off x="0" y="0"/>
                      <a:ext cx="79623" cy="25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los parámetros de ponderación de las imágenes de persistencia— debe realizarse de manera recursiva o exclusivamente sobre la ventana de calibración (</w:t>
      </w:r>
      <w:r w:rsidDel="00000000" w:rsidR="00000000" w:rsidRPr="00000000">
        <w:rPr>
          <w:rFonts w:ascii="Google Sans" w:cs="Google Sans" w:eastAsia="Google Sans" w:hAnsi="Google Sans"/>
          <w:i w:val="1"/>
          <w:iCs w:val="1"/>
          <w:color w:val="1f1f1f"/>
          <w:rtl w:val="0"/>
        </w:rPr>
        <w:t xml:space="preserve">in-sample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De igual modo, la estimación de matrices de distancia debe llevarse a cabo de forma causal sin incluir observaciones futuras, garantizando que el diseño de pronóstico fuera de muestra simule las condiciones informativas reales de un analista o diseñador de política económica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Principio de Complementariedad Metodológica</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tesis no debe posicionarse bajo la premisa de descartar los modelos macroeconométricos canónicos en favor del TDA, sino bajo un criterio de ganancia informacional marginal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objetivo científico radica en demostrar que las invariantes algebraicas del TDA rescatan componentes estructurales y morfologías de red que escapan a los momentos condicionales ordinarios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 confrontar rigurosamente los modelos aumentados topológicamente contra los mejores modelos de referencia paramétricos de la disciplina, el trabajo de grado obtendrá una doble solidez: la innovación del estado del arte computacional y la validez metodológica demandada por la econometría aplicada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Shape of Data: Topology Meets Analytics A Practical ... - arXiv, </w:t>
      </w:r>
      <w:hyperlink r:id="rId72">
        <w:r w:rsidDel="00000000" w:rsidR="00000000" w:rsidRPr="00000000">
          <w:rPr>
            <w:rFonts w:ascii="Google Sans" w:cs="Google Sans" w:eastAsia="Google Sans" w:hAnsi="Google Sans"/>
            <w:color w:val="0000ee"/>
            <w:sz w:val="24"/>
            <w:szCs w:val="24"/>
            <w:u w:val="single"/>
            <w:rtl w:val="0"/>
          </w:rPr>
          <w:t xml:space="preserve">https://arxiv.org/html/2511.13503v1</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Nowcasting using regression on signatures - IDEAS/RePEc, </w:t>
      </w:r>
      <w:hyperlink r:id="rId73">
        <w:r w:rsidDel="00000000" w:rsidR="00000000" w:rsidRPr="00000000">
          <w:rPr>
            <w:rFonts w:ascii="Google Sans" w:cs="Google Sans" w:eastAsia="Google Sans" w:hAnsi="Google Sans"/>
            <w:color w:val="0000ee"/>
            <w:sz w:val="24"/>
            <w:szCs w:val="24"/>
            <w:u w:val="single"/>
            <w:rtl w:val="0"/>
          </w:rPr>
          <w:t xml:space="preserve">https://ideas.repec.org/p/arx/papers/2305.10256.html</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Nowcasting using regression on signatures - arXiv, </w:t>
      </w:r>
      <w:hyperlink r:id="rId74">
        <w:r w:rsidDel="00000000" w:rsidR="00000000" w:rsidRPr="00000000">
          <w:rPr>
            <w:rFonts w:ascii="Google Sans" w:cs="Google Sans" w:eastAsia="Google Sans" w:hAnsi="Google Sans"/>
            <w:color w:val="0000ee"/>
            <w:sz w:val="24"/>
            <w:szCs w:val="24"/>
            <w:u w:val="single"/>
            <w:rtl w:val="0"/>
          </w:rPr>
          <w:t xml:space="preserve">https://arxiv.org/html/2305.10256v3</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financial time series forecasting through topological data,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https://www.researchgate.net/publication/388110176_Enhancing_financial_time_series_forecasting_through_topological_data_analysis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Null-Validated Topological Signatures of Financial Market Dynamics, </w:t>
      </w:r>
      <w:hyperlink r:id="rId76">
        <w:r w:rsidDel="00000000" w:rsidR="00000000" w:rsidRPr="00000000">
          <w:rPr>
            <w:rFonts w:ascii="Google Sans" w:cs="Google Sans" w:eastAsia="Google Sans" w:hAnsi="Google Sans"/>
            <w:color w:val="0000ee"/>
            <w:sz w:val="24"/>
            <w:szCs w:val="24"/>
            <w:u w:val="single"/>
            <w:rtl w:val="0"/>
          </w:rPr>
          <w:t xml:space="preserve">https://arxiv.org/pdf/2602.00383</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shape of data: Topology meets analytics: a practical introduction, </w:t>
      </w:r>
      <w:hyperlink r:id="rId77">
        <w:r w:rsidDel="00000000" w:rsidR="00000000" w:rsidRPr="00000000">
          <w:rPr>
            <w:rFonts w:ascii="Google Sans" w:cs="Google Sans" w:eastAsia="Google Sans" w:hAnsi="Google Sans"/>
            <w:color w:val="0000ee"/>
            <w:sz w:val="24"/>
            <w:szCs w:val="24"/>
            <w:u w:val="single"/>
            <w:rtl w:val="0"/>
          </w:rPr>
          <w:t xml:space="preserve">https://www.aimsciences.org/article/doi/10.3934/fods.2026021?viewType=HTML</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Mixup Barcodes for Topology-Aware Financial Decision Making - arXiv, </w:t>
      </w:r>
      <w:hyperlink r:id="rId78">
        <w:r w:rsidDel="00000000" w:rsidR="00000000" w:rsidRPr="00000000">
          <w:rPr>
            <w:rFonts w:ascii="Google Sans" w:cs="Google Sans" w:eastAsia="Google Sans" w:hAnsi="Google Sans"/>
            <w:color w:val="0000ee"/>
            <w:sz w:val="24"/>
            <w:szCs w:val="24"/>
            <w:u w:val="single"/>
            <w:rtl w:val="0"/>
          </w:rPr>
          <w:t xml:space="preserve">https://arxiv.org/html/2610.12396v1</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variability in financial markets - AIMS Press, </w:t>
      </w:r>
      <w:hyperlink r:id="rId79">
        <w:r w:rsidDel="00000000" w:rsidR="00000000" w:rsidRPr="00000000">
          <w:rPr>
            <w:rFonts w:ascii="Google Sans" w:cs="Google Sans" w:eastAsia="Google Sans" w:hAnsi="Google Sans"/>
            <w:color w:val="0000ee"/>
            <w:sz w:val="24"/>
            <w:szCs w:val="24"/>
            <w:u w:val="single"/>
            <w:rtl w:val="0"/>
          </w:rPr>
          <w:t xml:space="preserve">https://www.aimspress.com/article/doi/10.3934/QFE.2023019?viewType=HTML</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Point Detection in Financial Market Using Topological Data, </w:t>
      </w:r>
      <w:hyperlink r:id="rId80">
        <w:r w:rsidDel="00000000" w:rsidR="00000000" w:rsidRPr="00000000">
          <w:rPr>
            <w:rFonts w:ascii="Google Sans" w:cs="Google Sans" w:eastAsia="Google Sans" w:hAnsi="Google Sans"/>
            <w:color w:val="0000ee"/>
            <w:sz w:val="24"/>
            <w:szCs w:val="24"/>
            <w:u w:val="single"/>
            <w:rtl w:val="0"/>
          </w:rPr>
          <w:t xml:space="preserve">https://www.mdpi.com/2079-8954/13/10/875</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Machine Learning for Financial Crisis Detection - MDPI, </w:t>
      </w:r>
      <w:hyperlink r:id="rId81">
        <w:r w:rsidDel="00000000" w:rsidR="00000000" w:rsidRPr="00000000">
          <w:rPr>
            <w:rFonts w:ascii="Google Sans" w:cs="Google Sans" w:eastAsia="Google Sans" w:hAnsi="Google Sans"/>
            <w:color w:val="0000ee"/>
            <w:sz w:val="24"/>
            <w:szCs w:val="24"/>
            <w:u w:val="single"/>
            <w:rtl w:val="0"/>
          </w:rPr>
          <w:t xml:space="preserve">https://www.mdpi.com/2073-431X/14/10/408</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of currencies: Persistent homology for FX Co-movements, </w:t>
      </w:r>
      <w:hyperlink r:id="rId82">
        <w:r w:rsidDel="00000000" w:rsidR="00000000" w:rsidRPr="00000000">
          <w:rPr>
            <w:rFonts w:ascii="Google Sans" w:cs="Google Sans" w:eastAsia="Google Sans" w:hAnsi="Google Sans"/>
            <w:color w:val="0000ee"/>
            <w:sz w:val="24"/>
            <w:szCs w:val="24"/>
            <w:u w:val="single"/>
            <w:rtl w:val="0"/>
          </w:rPr>
          <w:t xml:space="preserve">https://www.aimspress.com/article/doi/10.3934/DSFE.2026007?viewType=HTML</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Two-Scale Topological Momentum and Persistence of Stress, </w:t>
      </w:r>
      <w:hyperlink r:id="rId83">
        <w:r w:rsidDel="00000000" w:rsidR="00000000" w:rsidRPr="00000000">
          <w:rPr>
            <w:rFonts w:ascii="Google Sans" w:cs="Google Sans" w:eastAsia="Google Sans" w:hAnsi="Google Sans"/>
            <w:color w:val="0000ee"/>
            <w:sz w:val="24"/>
            <w:szCs w:val="24"/>
            <w:u w:val="single"/>
            <w:rtl w:val="0"/>
          </w:rPr>
          <w:t xml:space="preserve">https://www.preprints.org/manuscript/202606.0592</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Data Analysis Using Mean Persistence Landscapes in, </w:t>
      </w:r>
      <w:hyperlink r:id="rId84">
        <w:r w:rsidDel="00000000" w:rsidR="00000000" w:rsidRPr="00000000">
          <w:rPr>
            <w:rFonts w:ascii="Google Sans" w:cs="Google Sans" w:eastAsia="Google Sans" w:hAnsi="Google Sans"/>
            <w:color w:val="0000ee"/>
            <w:sz w:val="24"/>
            <w:szCs w:val="24"/>
            <w:u w:val="single"/>
            <w:rtl w:val="0"/>
          </w:rPr>
          <w:t xml:space="preserve">https://www.researchgate.net/publication/346704819_Topology_Data_Analysis_Using_Mean_Persistence_Landscapes_in_Financial_Crashes</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Point Detection in Financial Market Using Topological Data, </w:t>
      </w:r>
      <w:hyperlink r:id="rId85">
        <w:r w:rsidDel="00000000" w:rsidR="00000000" w:rsidRPr="00000000">
          <w:rPr>
            <w:rFonts w:ascii="Google Sans" w:cs="Google Sans" w:eastAsia="Google Sans" w:hAnsi="Google Sans"/>
            <w:color w:val="0000ee"/>
            <w:sz w:val="24"/>
            <w:szCs w:val="24"/>
            <w:u w:val="single"/>
            <w:rtl w:val="0"/>
          </w:rPr>
          <w:t xml:space="preserve">https://www.researchgate.net/publication/396244436_Change_Point_Detection_in_Financial_Market_Using_Topological_Data_Analysis</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Topological Data Analysis of Financial Time Series, </w:t>
      </w:r>
      <w:hyperlink r:id="rId86">
        <w:r w:rsidDel="00000000" w:rsidR="00000000" w:rsidRPr="00000000">
          <w:rPr>
            <w:rFonts w:ascii="Google Sans" w:cs="Google Sans" w:eastAsia="Google Sans" w:hAnsi="Google Sans"/>
            <w:color w:val="0000ee"/>
            <w:sz w:val="24"/>
            <w:szCs w:val="24"/>
            <w:u w:val="single"/>
            <w:rtl w:val="0"/>
          </w:rPr>
          <w:t xml:space="preserve">https://www.researchgate.net/publication/386680057_Topological_Data_Analysis_of_Financial_Time_Series_Landscapes_of_Crashes</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study of financial crises based on topological data analysis, </w:t>
      </w:r>
      <w:hyperlink r:id="rId87">
        <w:r w:rsidDel="00000000" w:rsidR="00000000" w:rsidRPr="00000000">
          <w:rPr>
            <w:rFonts w:ascii="Google Sans" w:cs="Google Sans" w:eastAsia="Google Sans" w:hAnsi="Google Sans"/>
            <w:color w:val="0000ee"/>
            <w:sz w:val="24"/>
            <w:szCs w:val="24"/>
            <w:u w:val="single"/>
            <w:rtl w:val="0"/>
          </w:rPr>
          <w:t xml:space="preserve">https://ideas.repec.org/a/eee/phsmap/v558y2020ics0378437120304994.html</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Data Analysis of Financial Time Series - ResearchGate, </w:t>
      </w:r>
      <w:hyperlink r:id="rId88">
        <w:r w:rsidDel="00000000" w:rsidR="00000000" w:rsidRPr="00000000">
          <w:rPr>
            <w:rFonts w:ascii="Google Sans" w:cs="Google Sans" w:eastAsia="Google Sans" w:hAnsi="Google Sans"/>
            <w:color w:val="0000ee"/>
            <w:sz w:val="24"/>
            <w:szCs w:val="24"/>
            <w:u w:val="single"/>
            <w:rtl w:val="0"/>
          </w:rPr>
          <w:t xml:space="preserve">https://www.researchgate.net/publication/314948293_Topological_Data_Analysis_of_Financial_Time_Series_Landscapes_of_Crashes</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of currencies: Persistent homology for FX Co-movements, </w:t>
      </w:r>
      <w:hyperlink r:id="rId89">
        <w:r w:rsidDel="00000000" w:rsidR="00000000" w:rsidRPr="00000000">
          <w:rPr>
            <w:rFonts w:ascii="Google Sans" w:cs="Google Sans" w:eastAsia="Google Sans" w:hAnsi="Google Sans"/>
            <w:color w:val="0000ee"/>
            <w:sz w:val="24"/>
            <w:szCs w:val="24"/>
            <w:u w:val="single"/>
            <w:rtl w:val="0"/>
          </w:rPr>
          <w:t xml:space="preserve">https://www.aimspress.com/article/id/69dcc6d6ba35de0d193b1b8a</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Discrimination of economic Input-Output networks using Persistent, </w:t>
      </w:r>
      <w:hyperlink r:id="rId90">
        <w:r w:rsidDel="00000000" w:rsidR="00000000" w:rsidRPr="00000000">
          <w:rPr>
            <w:rFonts w:ascii="Google Sans" w:cs="Google Sans" w:eastAsia="Google Sans" w:hAnsi="Google Sans"/>
            <w:color w:val="0000ee"/>
            <w:sz w:val="24"/>
            <w:szCs w:val="24"/>
            <w:u w:val="single"/>
            <w:rtl w:val="0"/>
          </w:rPr>
          <w:t xml:space="preserve">https://www.researchgate.net/publication/305903531_Discrimination_of_economic_Input-Output_networks_using_Persistent_Homology</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Persistence Homology of Networks: Methods and Applications - arXiv, </w:t>
      </w:r>
      <w:hyperlink r:id="rId91">
        <w:r w:rsidDel="00000000" w:rsidR="00000000" w:rsidRPr="00000000">
          <w:rPr>
            <w:rFonts w:ascii="Google Sans" w:cs="Google Sans" w:eastAsia="Google Sans" w:hAnsi="Google Sans"/>
            <w:color w:val="0000ee"/>
            <w:sz w:val="24"/>
            <w:szCs w:val="24"/>
            <w:u w:val="single"/>
            <w:rtl w:val="0"/>
          </w:rPr>
          <w:t xml:space="preserve">https://arxiv.org/pdf/1907.08708</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approach based on dowker filtrations - Network Data Analysis, </w:t>
      </w:r>
      <w:hyperlink r:id="rId92">
        <w:r w:rsidDel="00000000" w:rsidR="00000000" w:rsidRPr="00000000">
          <w:rPr>
            <w:rFonts w:ascii="Google Sans" w:cs="Google Sans" w:eastAsia="Google Sans" w:hAnsi="Google Sans"/>
            <w:color w:val="0000ee"/>
            <w:sz w:val="24"/>
            <w:szCs w:val="24"/>
            <w:u w:val="single"/>
            <w:rtl w:val="0"/>
          </w:rPr>
          <w:t xml:space="preserve">https://ndag.github.io/pubs/dowker-arxiv.pdf</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Homology of the Eastern Mediterranean Trade Network, 0, </w:t>
      </w:r>
      <w:hyperlink r:id="rId93">
        <w:r w:rsidDel="00000000" w:rsidR="00000000" w:rsidRPr="00000000">
          <w:rPr>
            <w:rFonts w:ascii="Google Sans" w:cs="Google Sans" w:eastAsia="Google Sans" w:hAnsi="Google Sans"/>
            <w:color w:val="0000ee"/>
            <w:sz w:val="24"/>
            <w:szCs w:val="24"/>
            <w:u w:val="single"/>
            <w:rtl w:val="0"/>
          </w:rPr>
          <w:t xml:space="preserve">https://arxiv.org/html/2605.27200v1</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financial time series forecasting through topological data, </w:t>
      </w:r>
      <w:hyperlink r:id="rId94">
        <w:r w:rsidDel="00000000" w:rsidR="00000000" w:rsidRPr="00000000">
          <w:rPr>
            <w:rFonts w:ascii="Google Sans" w:cs="Google Sans" w:eastAsia="Google Sans" w:hAnsi="Google Sans"/>
            <w:color w:val="0000ee"/>
            <w:sz w:val="24"/>
            <w:szCs w:val="24"/>
            <w:u w:val="single"/>
            <w:rtl w:val="0"/>
          </w:rPr>
          <w:t xml:space="preserve">https://riuma.uma.es/bitstreams/c490e294-c4f2-4285-b6d5-8eb587c79e44/download</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Macro-Finance &amp; Rates - ML-Quant, </w:t>
      </w:r>
      <w:hyperlink r:id="rId95">
        <w:r w:rsidDel="00000000" w:rsidR="00000000" w:rsidRPr="00000000">
          <w:rPr>
            <w:rFonts w:ascii="Google Sans" w:cs="Google Sans" w:eastAsia="Google Sans" w:hAnsi="Google Sans"/>
            <w:color w:val="0000ee"/>
            <w:sz w:val="24"/>
            <w:szCs w:val="24"/>
            <w:u w:val="single"/>
            <w:rtl w:val="0"/>
          </w:rPr>
          <w:t xml:space="preserve">https://www.ml-quant.com/topics/macro-finance-rates/</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coupon yield curve dynamics in the Russian sovereign bond, </w:t>
      </w:r>
      <w:hyperlink r:id="rId96">
        <w:r w:rsidDel="00000000" w:rsidR="00000000" w:rsidRPr="00000000">
          <w:rPr>
            <w:rFonts w:ascii="Google Sans" w:cs="Google Sans" w:eastAsia="Google Sans" w:hAnsi="Google Sans"/>
            <w:color w:val="0000ee"/>
            <w:sz w:val="24"/>
            <w:szCs w:val="24"/>
            <w:u w:val="single"/>
            <w:rtl w:val="0"/>
          </w:rPr>
          <w:t xml:space="preserve">https://edgccjournal.org/0424-7388/article/view/653279</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Unveiled: A New Horizon for Economic and Financial, </w:t>
      </w:r>
      <w:hyperlink r:id="rId97">
        <w:r w:rsidDel="00000000" w:rsidR="00000000" w:rsidRPr="00000000">
          <w:rPr>
            <w:rFonts w:ascii="Google Sans" w:cs="Google Sans" w:eastAsia="Google Sans" w:hAnsi="Google Sans"/>
            <w:color w:val="0000ee"/>
            <w:sz w:val="24"/>
            <w:szCs w:val="24"/>
            <w:u w:val="single"/>
            <w:rtl w:val="0"/>
          </w:rPr>
          <w:t xml:space="preserve">https://www.mdpi.com/2227-7390/13/2/325</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geodesic-regression crisis indicator for equity covariance ... - arXiv, </w:t>
      </w:r>
      <w:hyperlink r:id="rId98">
        <w:r w:rsidDel="00000000" w:rsidR="00000000" w:rsidRPr="00000000">
          <w:rPr>
            <w:rFonts w:ascii="Google Sans" w:cs="Google Sans" w:eastAsia="Google Sans" w:hAnsi="Google Sans"/>
            <w:color w:val="0000ee"/>
            <w:sz w:val="24"/>
            <w:szCs w:val="24"/>
            <w:u w:val="single"/>
            <w:rtl w:val="0"/>
          </w:rPr>
          <w:t xml:space="preserve">https://arxiv.org/pdf/2608.15205</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Forecasting Financial Crisis using Topological Data Analysis, </w:t>
      </w:r>
      <w:hyperlink r:id="rId99">
        <w:r w:rsidDel="00000000" w:rsidR="00000000" w:rsidRPr="00000000">
          <w:rPr>
            <w:rFonts w:ascii="Google Sans" w:cs="Google Sans" w:eastAsia="Google Sans" w:hAnsi="Google Sans"/>
            <w:color w:val="0000ee"/>
            <w:sz w:val="24"/>
            <w:szCs w:val="24"/>
            <w:u w:val="single"/>
            <w:rtl w:val="0"/>
          </w:rPr>
          <w:t xml:space="preserve">https://www.researchgate.net/publication/380043077_Forecasting_Financial_Crisis_using_Topological_Data_Analysis_Approach</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Byzantine Trade Network, 0--1453\,CE: Persistent Homology ... - arXiv, </w:t>
      </w:r>
      <w:hyperlink r:id="rId100">
        <w:r w:rsidDel="00000000" w:rsidR="00000000" w:rsidRPr="00000000">
          <w:rPr>
            <w:rFonts w:ascii="Google Sans" w:cs="Google Sans" w:eastAsia="Google Sans" w:hAnsi="Google Sans"/>
            <w:color w:val="0000ee"/>
            <w:sz w:val="24"/>
            <w:szCs w:val="24"/>
            <w:u w:val="single"/>
            <w:rtl w:val="0"/>
          </w:rPr>
          <w:t xml:space="preserve">https://arxiv.org/abs/2607.05695</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Data Analysis of Critical Transitions in Financial Networks, </w:t>
      </w:r>
      <w:hyperlink r:id="rId101">
        <w:r w:rsidDel="00000000" w:rsidR="00000000" w:rsidRPr="00000000">
          <w:rPr>
            <w:rFonts w:ascii="Google Sans" w:cs="Google Sans" w:eastAsia="Google Sans" w:hAnsi="Google Sans"/>
            <w:color w:val="0000ee"/>
            <w:sz w:val="24"/>
            <w:szCs w:val="24"/>
            <w:u w:val="single"/>
            <w:rtl w:val="0"/>
          </w:rPr>
          <w:t xml:space="preserve">https://www.researchgate.net/publication/316640406_Topological_Data_Analysis_of_Critical_Transitions_in_Financial_Networks</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Equity Market Dependence and Hedging Effectiveness Across, </w:t>
      </w:r>
      <w:hyperlink r:id="rId102">
        <w:r w:rsidDel="00000000" w:rsidR="00000000" w:rsidRPr="00000000">
          <w:rPr>
            <w:rFonts w:ascii="Google Sans" w:cs="Google Sans" w:eastAsia="Google Sans" w:hAnsi="Google Sans"/>
            <w:color w:val="0000ee"/>
            <w:sz w:val="24"/>
            <w:szCs w:val="24"/>
            <w:u w:val="single"/>
            <w:rtl w:val="0"/>
          </w:rPr>
          <w:t xml:space="preserve">https://www.researchgate.net/publication/414911689_Equity_Market_Dependence_and_Hedging_Effectiveness_Across_China_Turkiye_and_the_United_States_Evidence_from_Market-Clock_Alignment_Currency_Denomination_and_Geopolitical_Event_Windows</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Complexity Economics in a Time of Crisis: Heterogeneous Agents, </w:t>
      </w:r>
      <w:hyperlink r:id="rId103">
        <w:r w:rsidDel="00000000" w:rsidR="00000000" w:rsidRPr="00000000">
          <w:rPr>
            <w:rFonts w:ascii="Google Sans" w:cs="Google Sans" w:eastAsia="Google Sans" w:hAnsi="Google Sans"/>
            <w:color w:val="0000ee"/>
            <w:sz w:val="24"/>
            <w:szCs w:val="24"/>
            <w:u w:val="single"/>
            <w:rtl w:val="0"/>
          </w:rPr>
          <w:t xml:space="preserve">https://www.mdpi.com/2079-8954/9/4/73</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Data Analysis of Financial Time Series - arXiv, </w:t>
      </w:r>
      <w:hyperlink r:id="rId104">
        <w:r w:rsidDel="00000000" w:rsidR="00000000" w:rsidRPr="00000000">
          <w:rPr>
            <w:rFonts w:ascii="Google Sans" w:cs="Google Sans" w:eastAsia="Google Sans" w:hAnsi="Google Sans"/>
            <w:color w:val="0000ee"/>
            <w:sz w:val="24"/>
            <w:szCs w:val="24"/>
            <w:u w:val="single"/>
            <w:rtl w:val="0"/>
          </w:rPr>
          <w:t xml:space="preserve">https://arxiv.org/html/1703.04385v2</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Time-resolved topological data analysis of market instabilities, </w:t>
      </w:r>
      <w:hyperlink r:id="rId105">
        <w:r w:rsidDel="00000000" w:rsidR="00000000" w:rsidRPr="00000000">
          <w:rPr>
            <w:rFonts w:ascii="Google Sans" w:cs="Google Sans" w:eastAsia="Google Sans" w:hAnsi="Google Sans"/>
            <w:color w:val="0000ee"/>
            <w:sz w:val="24"/>
            <w:szCs w:val="24"/>
            <w:u w:val="single"/>
            <w:rtl w:val="0"/>
          </w:rPr>
          <w:t xml:space="preserve">https://ideas.repec.org/a/eee/phsmap/v571y2021ics0378437121000881.html</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Quantum Topological Data Analysis with Applications to, </w:t>
      </w:r>
      <w:hyperlink r:id="rId106">
        <w:r w:rsidDel="00000000" w:rsidR="00000000" w:rsidRPr="00000000">
          <w:rPr>
            <w:rFonts w:ascii="Google Sans" w:cs="Google Sans" w:eastAsia="Google Sans" w:hAnsi="Google Sans"/>
            <w:color w:val="0000ee"/>
            <w:sz w:val="24"/>
            <w:szCs w:val="24"/>
            <w:u w:val="single"/>
            <w:rtl w:val="0"/>
          </w:rPr>
          <w:t xml:space="preserve">https://arxiv.org/html/2607.27206v1</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Survey of Time Series Forecasting - arXiv, </w:t>
      </w:r>
      <w:hyperlink r:id="rId107">
        <w:r w:rsidDel="00000000" w:rsidR="00000000" w:rsidRPr="00000000">
          <w:rPr>
            <w:rFonts w:ascii="Google Sans" w:cs="Google Sans" w:eastAsia="Google Sans" w:hAnsi="Google Sans"/>
            <w:color w:val="0000ee"/>
            <w:sz w:val="24"/>
            <w:szCs w:val="24"/>
            <w:u w:val="single"/>
            <w:rtl w:val="0"/>
          </w:rPr>
          <w:t xml:space="preserve">https://arxiv.org/html/2411.05793v1</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Hodge-Econometric Modeling of the World Economy, </w:t>
      </w:r>
      <w:hyperlink r:id="rId108">
        <w:r w:rsidDel="00000000" w:rsidR="00000000" w:rsidRPr="00000000">
          <w:rPr>
            <w:rFonts w:ascii="Google Sans" w:cs="Google Sans" w:eastAsia="Google Sans" w:hAnsi="Google Sans"/>
            <w:color w:val="0000ee"/>
            <w:sz w:val="24"/>
            <w:szCs w:val="24"/>
            <w:u w:val="single"/>
            <w:rtl w:val="0"/>
          </w:rPr>
          <w:t xml:space="preserve">https://www.econstor.eu/bitstream/10419/341543/1/Global_Hodge_Econometric_Modeling_Gondauri.pdf</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Perelman-Ricci-Poincare-Inspired Inequality Diagnostics, </w:t>
      </w:r>
      <w:hyperlink r:id="rId109">
        <w:r w:rsidDel="00000000" w:rsidR="00000000" w:rsidRPr="00000000">
          <w:rPr>
            <w:rFonts w:ascii="Google Sans" w:cs="Google Sans" w:eastAsia="Google Sans" w:hAnsi="Google Sans"/>
            <w:color w:val="0000ee"/>
            <w:sz w:val="24"/>
            <w:szCs w:val="24"/>
            <w:u w:val="single"/>
            <w:rtl w:val="0"/>
          </w:rPr>
          <w:t xml:space="preserve">https://www.econstor.eu/bitstream/10419/341620/1/Global-Perelman-Ricci-Poincare-Gondauri.pdf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3.png"/><Relationship Id="rId42" Type="http://schemas.openxmlformats.org/officeDocument/2006/relationships/image" Target="media/image10.png"/><Relationship Id="rId41" Type="http://schemas.openxmlformats.org/officeDocument/2006/relationships/image" Target="media/image4.png"/><Relationship Id="rId44" Type="http://schemas.openxmlformats.org/officeDocument/2006/relationships/image" Target="media/image9.png"/><Relationship Id="rId43" Type="http://schemas.openxmlformats.org/officeDocument/2006/relationships/image" Target="media/image15.png"/><Relationship Id="rId46" Type="http://schemas.openxmlformats.org/officeDocument/2006/relationships/image" Target="media/image59.png"/><Relationship Id="rId45" Type="http://schemas.openxmlformats.org/officeDocument/2006/relationships/image" Target="media/image51.png"/><Relationship Id="rId107" Type="http://schemas.openxmlformats.org/officeDocument/2006/relationships/hyperlink" Target="https://arxiv.org/html/2411.05793v1" TargetMode="External"/><Relationship Id="rId106" Type="http://schemas.openxmlformats.org/officeDocument/2006/relationships/hyperlink" Target="https://arxiv.org/html/2607.27206v1" TargetMode="External"/><Relationship Id="rId105" Type="http://schemas.openxmlformats.org/officeDocument/2006/relationships/hyperlink" Target="https://ideas.repec.org/a/eee/phsmap/v571y2021ics0378437121000881.html" TargetMode="External"/><Relationship Id="rId104" Type="http://schemas.openxmlformats.org/officeDocument/2006/relationships/hyperlink" Target="https://arxiv.org/html/1703.04385v2" TargetMode="External"/><Relationship Id="rId109" Type="http://schemas.openxmlformats.org/officeDocument/2006/relationships/hyperlink" Target="https://www.econstor.eu/bitstream/10419/341620/1/Global-Perelman-Ricci-Poincare-Gondauri.pdf" TargetMode="External"/><Relationship Id="rId108" Type="http://schemas.openxmlformats.org/officeDocument/2006/relationships/hyperlink" Target="https://www.econstor.eu/bitstream/10419/341543/1/Global_Hodge_Econometric_Modeling_Gondauri.pdf" TargetMode="External"/><Relationship Id="rId48" Type="http://schemas.openxmlformats.org/officeDocument/2006/relationships/image" Target="media/image48.png"/><Relationship Id="rId47" Type="http://schemas.openxmlformats.org/officeDocument/2006/relationships/image" Target="media/image52.png"/><Relationship Id="rId49" Type="http://schemas.openxmlformats.org/officeDocument/2006/relationships/image" Target="media/image60.png"/><Relationship Id="rId103" Type="http://schemas.openxmlformats.org/officeDocument/2006/relationships/hyperlink" Target="https://www.mdpi.com/2079-8954/9/4/73" TargetMode="External"/><Relationship Id="rId102" Type="http://schemas.openxmlformats.org/officeDocument/2006/relationships/hyperlink" Target="https://www.researchgate.net/publication/414911689_Equity_Market_Dependence_and_Hedging_Effectiveness_Across_China_Turkiye_and_the_United_States_Evidence_from_Market-Clock_Alignment_Currency_Denomination_and_Geopolitical_Event_Windows" TargetMode="External"/><Relationship Id="rId101" Type="http://schemas.openxmlformats.org/officeDocument/2006/relationships/hyperlink" Target="https://www.researchgate.net/publication/316640406_Topological_Data_Analysis_of_Critical_Transitions_in_Financial_Networks" TargetMode="External"/><Relationship Id="rId100" Type="http://schemas.openxmlformats.org/officeDocument/2006/relationships/hyperlink" Target="https://arxiv.org/abs/2607.05695" TargetMode="External"/><Relationship Id="rId31" Type="http://schemas.openxmlformats.org/officeDocument/2006/relationships/image" Target="media/image25.png"/><Relationship Id="rId30" Type="http://schemas.openxmlformats.org/officeDocument/2006/relationships/image" Target="media/image64.png"/><Relationship Id="rId33" Type="http://schemas.openxmlformats.org/officeDocument/2006/relationships/image" Target="media/image23.png"/><Relationship Id="rId32" Type="http://schemas.openxmlformats.org/officeDocument/2006/relationships/image" Target="media/image19.png"/><Relationship Id="rId35" Type="http://schemas.openxmlformats.org/officeDocument/2006/relationships/image" Target="media/image27.png"/><Relationship Id="rId34" Type="http://schemas.openxmlformats.org/officeDocument/2006/relationships/image" Target="media/image29.png"/><Relationship Id="rId37" Type="http://schemas.openxmlformats.org/officeDocument/2006/relationships/image" Target="media/image13.png"/><Relationship Id="rId36" Type="http://schemas.openxmlformats.org/officeDocument/2006/relationships/image" Target="media/image6.png"/><Relationship Id="rId39" Type="http://schemas.openxmlformats.org/officeDocument/2006/relationships/image" Target="media/image2.png"/><Relationship Id="rId38" Type="http://schemas.openxmlformats.org/officeDocument/2006/relationships/image" Target="media/image3.png"/><Relationship Id="rId20" Type="http://schemas.openxmlformats.org/officeDocument/2006/relationships/image" Target="media/image44.png"/><Relationship Id="rId22" Type="http://schemas.openxmlformats.org/officeDocument/2006/relationships/image" Target="media/image66.png"/><Relationship Id="rId21" Type="http://schemas.openxmlformats.org/officeDocument/2006/relationships/image" Target="media/image61.png"/><Relationship Id="rId24" Type="http://schemas.openxmlformats.org/officeDocument/2006/relationships/image" Target="media/image33.png"/><Relationship Id="rId23" Type="http://schemas.openxmlformats.org/officeDocument/2006/relationships/image" Target="media/image8.png"/><Relationship Id="rId26" Type="http://schemas.openxmlformats.org/officeDocument/2006/relationships/image" Target="media/image50.png"/><Relationship Id="rId25" Type="http://schemas.openxmlformats.org/officeDocument/2006/relationships/image" Target="media/image34.png"/><Relationship Id="rId28" Type="http://schemas.openxmlformats.org/officeDocument/2006/relationships/image" Target="media/image45.png"/><Relationship Id="rId27" Type="http://schemas.openxmlformats.org/officeDocument/2006/relationships/image" Target="media/image41.png"/><Relationship Id="rId29" Type="http://schemas.openxmlformats.org/officeDocument/2006/relationships/image" Target="media/image21.png"/><Relationship Id="rId95" Type="http://schemas.openxmlformats.org/officeDocument/2006/relationships/hyperlink" Target="https://www.ml-quant.com/topics/macro-finance-rates/" TargetMode="External"/><Relationship Id="rId94" Type="http://schemas.openxmlformats.org/officeDocument/2006/relationships/hyperlink" Target="https://riuma.uma.es/bitstreams/c490e294-c4f2-4285-b6d5-8eb587c79e44/download" TargetMode="External"/><Relationship Id="rId97" Type="http://schemas.openxmlformats.org/officeDocument/2006/relationships/hyperlink" Target="https://www.mdpi.com/2227-7390/13/2/325" TargetMode="External"/><Relationship Id="rId96" Type="http://schemas.openxmlformats.org/officeDocument/2006/relationships/hyperlink" Target="https://edgccjournal.org/0424-7388/article/view/653279" TargetMode="External"/><Relationship Id="rId11" Type="http://schemas.openxmlformats.org/officeDocument/2006/relationships/image" Target="media/image40.png"/><Relationship Id="rId99" Type="http://schemas.openxmlformats.org/officeDocument/2006/relationships/hyperlink" Target="https://www.researchgate.net/publication/380043077_Forecasting_Financial_Crisis_using_Topological_Data_Analysis_Approach" TargetMode="External"/><Relationship Id="rId10" Type="http://schemas.openxmlformats.org/officeDocument/2006/relationships/image" Target="media/image49.png"/><Relationship Id="rId98" Type="http://schemas.openxmlformats.org/officeDocument/2006/relationships/hyperlink" Target="https://arxiv.org/pdf/2608.15205" TargetMode="External"/><Relationship Id="rId13" Type="http://schemas.openxmlformats.org/officeDocument/2006/relationships/image" Target="media/image7.png"/><Relationship Id="rId12" Type="http://schemas.openxmlformats.org/officeDocument/2006/relationships/image" Target="media/image55.png"/><Relationship Id="rId91" Type="http://schemas.openxmlformats.org/officeDocument/2006/relationships/hyperlink" Target="https://arxiv.org/pdf/1907.08708" TargetMode="External"/><Relationship Id="rId90" Type="http://schemas.openxmlformats.org/officeDocument/2006/relationships/hyperlink" Target="https://www.researchgate.net/publication/305903531_Discrimination_of_economic_Input-Output_networks_using_Persistent_Homology" TargetMode="External"/><Relationship Id="rId93" Type="http://schemas.openxmlformats.org/officeDocument/2006/relationships/hyperlink" Target="https://arxiv.org/html/2605.27200v1" TargetMode="External"/><Relationship Id="rId92" Type="http://schemas.openxmlformats.org/officeDocument/2006/relationships/hyperlink" Target="https://ndag.github.io/pubs/dowker-arxiv.pdf" TargetMode="External"/><Relationship Id="rId15" Type="http://schemas.openxmlformats.org/officeDocument/2006/relationships/image" Target="media/image57.png"/><Relationship Id="rId14" Type="http://schemas.openxmlformats.org/officeDocument/2006/relationships/image" Target="media/image1.png"/><Relationship Id="rId17" Type="http://schemas.openxmlformats.org/officeDocument/2006/relationships/image" Target="media/image62.png"/><Relationship Id="rId16" Type="http://schemas.openxmlformats.org/officeDocument/2006/relationships/image" Target="media/image54.png"/><Relationship Id="rId19" Type="http://schemas.openxmlformats.org/officeDocument/2006/relationships/image" Target="media/image58.png"/><Relationship Id="rId18" Type="http://schemas.openxmlformats.org/officeDocument/2006/relationships/image" Target="media/image65.png"/><Relationship Id="rId84" Type="http://schemas.openxmlformats.org/officeDocument/2006/relationships/hyperlink" Target="https://www.researchgate.net/publication/346704819_Topology_Data_Analysis_Using_Mean_Persistence_Landscapes_in_Financial_Crashes" TargetMode="External"/><Relationship Id="rId83" Type="http://schemas.openxmlformats.org/officeDocument/2006/relationships/hyperlink" Target="https://www.preprints.org/manuscript/202606.0592" TargetMode="External"/><Relationship Id="rId86" Type="http://schemas.openxmlformats.org/officeDocument/2006/relationships/hyperlink" Target="https://www.researchgate.net/publication/386680057_Topological_Data_Analysis_of_Financial_Time_Series_Landscapes_of_Crashes" TargetMode="External"/><Relationship Id="rId85" Type="http://schemas.openxmlformats.org/officeDocument/2006/relationships/hyperlink" Target="https://www.researchgate.net/publication/396244436_Change_Point_Detection_in_Financial_Market_Using_Topological_Data_Analysis" TargetMode="External"/><Relationship Id="rId88" Type="http://schemas.openxmlformats.org/officeDocument/2006/relationships/hyperlink" Target="https://www.researchgate.net/publication/314948293_Topological_Data_Analysis_of_Financial_Time_Series_Landscapes_of_Crashes" TargetMode="External"/><Relationship Id="rId87" Type="http://schemas.openxmlformats.org/officeDocument/2006/relationships/hyperlink" Target="https://ideas.repec.org/a/eee/phsmap/v558y2020ics0378437120304994.html" TargetMode="External"/><Relationship Id="rId89" Type="http://schemas.openxmlformats.org/officeDocument/2006/relationships/hyperlink" Target="https://www.aimspress.com/article/id/69dcc6d6ba35de0d193b1b8a" TargetMode="External"/><Relationship Id="rId80" Type="http://schemas.openxmlformats.org/officeDocument/2006/relationships/hyperlink" Target="https://www.mdpi.com/2079-8954/13/10/875" TargetMode="External"/><Relationship Id="rId82" Type="http://schemas.openxmlformats.org/officeDocument/2006/relationships/hyperlink" Target="https://www.aimspress.com/article/doi/10.3934/DSFE.2026007?viewType=HTML" TargetMode="External"/><Relationship Id="rId81" Type="http://schemas.openxmlformats.org/officeDocument/2006/relationships/hyperlink" Target="https://www.mdpi.com/2073-431X/14/10/4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37.png"/><Relationship Id="rId8" Type="http://schemas.openxmlformats.org/officeDocument/2006/relationships/image" Target="media/image46.png"/><Relationship Id="rId73" Type="http://schemas.openxmlformats.org/officeDocument/2006/relationships/hyperlink" Target="https://ideas.repec.org/p/arx/papers/2305.10256.html" TargetMode="External"/><Relationship Id="rId72" Type="http://schemas.openxmlformats.org/officeDocument/2006/relationships/hyperlink" Target="https://arxiv.org/html/2511.13503v1" TargetMode="External"/><Relationship Id="rId75" Type="http://schemas.openxmlformats.org/officeDocument/2006/relationships/hyperlink" Target="https://www.researchgate.net/publication/388110176_Enhancing_financial_time_series_forecasting_through_topological_data_analysis" TargetMode="External"/><Relationship Id="rId74" Type="http://schemas.openxmlformats.org/officeDocument/2006/relationships/hyperlink" Target="https://arxiv.org/html/2305.10256v3" TargetMode="External"/><Relationship Id="rId77" Type="http://schemas.openxmlformats.org/officeDocument/2006/relationships/hyperlink" Target="https://www.aimsciences.org/article/doi/10.3934/fods.2026021?viewType=HTML" TargetMode="External"/><Relationship Id="rId76" Type="http://schemas.openxmlformats.org/officeDocument/2006/relationships/hyperlink" Target="https://arxiv.org/pdf/2602.00383" TargetMode="External"/><Relationship Id="rId79" Type="http://schemas.openxmlformats.org/officeDocument/2006/relationships/hyperlink" Target="https://www.aimspress.com/article/doi/10.3934/QFE.2023019?viewType=HTML" TargetMode="External"/><Relationship Id="rId78" Type="http://schemas.openxmlformats.org/officeDocument/2006/relationships/hyperlink" Target="https://arxiv.org/html/2610.12396v1" TargetMode="External"/><Relationship Id="rId71" Type="http://schemas.openxmlformats.org/officeDocument/2006/relationships/image" Target="media/image5.png"/><Relationship Id="rId70" Type="http://schemas.openxmlformats.org/officeDocument/2006/relationships/image" Target="media/image12.png"/><Relationship Id="rId62" Type="http://schemas.openxmlformats.org/officeDocument/2006/relationships/image" Target="media/image31.png"/><Relationship Id="rId61" Type="http://schemas.openxmlformats.org/officeDocument/2006/relationships/image" Target="media/image22.png"/><Relationship Id="rId64" Type="http://schemas.openxmlformats.org/officeDocument/2006/relationships/image" Target="media/image24.png"/><Relationship Id="rId63" Type="http://schemas.openxmlformats.org/officeDocument/2006/relationships/image" Target="media/image26.png"/><Relationship Id="rId66" Type="http://schemas.openxmlformats.org/officeDocument/2006/relationships/image" Target="media/image47.png"/><Relationship Id="rId65" Type="http://schemas.openxmlformats.org/officeDocument/2006/relationships/image" Target="media/image14.png"/><Relationship Id="rId68" Type="http://schemas.openxmlformats.org/officeDocument/2006/relationships/image" Target="media/image30.png"/><Relationship Id="rId67" Type="http://schemas.openxmlformats.org/officeDocument/2006/relationships/image" Target="media/image17.png"/><Relationship Id="rId60" Type="http://schemas.openxmlformats.org/officeDocument/2006/relationships/image" Target="media/image38.png"/><Relationship Id="rId69" Type="http://schemas.openxmlformats.org/officeDocument/2006/relationships/image" Target="media/image11.png"/><Relationship Id="rId51" Type="http://schemas.openxmlformats.org/officeDocument/2006/relationships/image" Target="media/image56.png"/><Relationship Id="rId50" Type="http://schemas.openxmlformats.org/officeDocument/2006/relationships/image" Target="media/image53.png"/><Relationship Id="rId53" Type="http://schemas.openxmlformats.org/officeDocument/2006/relationships/image" Target="media/image28.png"/><Relationship Id="rId52" Type="http://schemas.openxmlformats.org/officeDocument/2006/relationships/image" Target="media/image20.png"/><Relationship Id="rId55" Type="http://schemas.openxmlformats.org/officeDocument/2006/relationships/image" Target="media/image32.png"/><Relationship Id="rId54" Type="http://schemas.openxmlformats.org/officeDocument/2006/relationships/image" Target="media/image18.png"/><Relationship Id="rId57" Type="http://schemas.openxmlformats.org/officeDocument/2006/relationships/image" Target="media/image36.png"/><Relationship Id="rId56" Type="http://schemas.openxmlformats.org/officeDocument/2006/relationships/image" Target="media/image35.png"/><Relationship Id="rId59" Type="http://schemas.openxmlformats.org/officeDocument/2006/relationships/image" Target="media/image42.png"/><Relationship Id="rId5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