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IaC Roadmap Ownership and Scope</w:t>
      </w:r>
    </w:p>
    <w:p>
      <w:pPr>
        <w:jc w:val="center"/>
      </w:pPr>
      <w:r>
        <w:rPr>
          <w:i/>
        </w:rPr>
        <w:t>WAF Automation Review Alignment | Focused Ownership Recommendation</w:t>
        <w:br/>
        <w:t>June 8, 2026</w:t>
      </w:r>
    </w:p>
    <w:p>
      <w:pPr>
        <w:pStyle w:val="Heading1"/>
      </w:pPr>
      <w:r>
        <w:t>1. Point of View</w:t>
      </w:r>
    </w:p>
    <w:p>
      <w:r>
        <w:t>Our commitment should be framed around WAF Automation recommendations, standards, and initial implementation patterns. We should be clear where we own the recommendation or first pattern, where we co-own adoption with permanent Compeer teams, and where we only provide input. This avoids implying that we own every module, every workflow, or long-term Engineering Enablement operations. The scope below intentionally excludes the Fundamentals items and does not try to mirror the full Confluence roadmap; it focuses only on the roadmap items that connect directly to the WAF Automation findings and the work we have discussed.</w:t>
      </w:r>
    </w:p>
    <w:p>
      <w:r>
        <w:t>The practical areas in scope are module lifecycle and versioning, IaC validation workflow, policy and scan controls, promotion gates, interim branching guidance for shared local module paths, existing-repo retrofit, and developer-facing examples or self-service inputs. Branching strategy, PR templates, ADO validation pipelines, Checkmarx/Orca scans, and repo retrofit are implementation mechanisms that support these roadmap items; they should not be presented as the full ownership scope by themselves.</w:t>
      </w:r>
    </w:p>
    <w:p>
      <w:pPr>
        <w:pStyle w:val="Heading1"/>
      </w:pPr>
      <w:r>
        <w:t>2. Focused Ownership Map</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440"/>
            <w:vAlign w:val="top"/>
            <w:shd w:fill="1F4E79"/>
          </w:tcPr>
          <w:p>
            <w:pPr>
              <w:spacing w:after="0"/>
            </w:pPr>
            <w:r/>
            <w:r>
              <w:rPr>
                <w:b/>
                <w:color w:val="FFFFFF"/>
                <w:sz w:val="16"/>
              </w:rPr>
              <w:t>Roadmap Area</w:t>
            </w:r>
          </w:p>
        </w:tc>
        <w:tc>
          <w:tcPr>
            <w:tcW w:type="dxa" w:w="1699"/>
            <w:vAlign w:val="top"/>
            <w:shd w:fill="1F4E79"/>
          </w:tcPr>
          <w:p>
            <w:pPr>
              <w:spacing w:after="0"/>
            </w:pPr>
            <w:r/>
            <w:r>
              <w:rPr>
                <w:b/>
                <w:color w:val="FFFFFF"/>
                <w:sz w:val="16"/>
              </w:rPr>
              <w:t>Confluence Item</w:t>
            </w:r>
          </w:p>
        </w:tc>
        <w:tc>
          <w:tcPr>
            <w:tcW w:type="dxa" w:w="1944"/>
            <w:vAlign w:val="top"/>
            <w:shd w:fill="1F4E79"/>
          </w:tcPr>
          <w:p>
            <w:pPr>
              <w:spacing w:after="0"/>
            </w:pPr>
            <w:r/>
            <w:r>
              <w:rPr>
                <w:b/>
                <w:color w:val="FFFFFF"/>
                <w:sz w:val="16"/>
              </w:rPr>
              <w:t>Ownership Level</w:t>
            </w:r>
          </w:p>
        </w:tc>
        <w:tc>
          <w:tcPr>
            <w:tcW w:type="dxa" w:w="2880"/>
            <w:vAlign w:val="top"/>
            <w:shd w:fill="1F4E79"/>
          </w:tcPr>
          <w:p>
            <w:pPr>
              <w:spacing w:after="0"/>
            </w:pPr>
            <w:r/>
            <w:r>
              <w:rPr>
                <w:b/>
                <w:color w:val="FFFFFF"/>
                <w:sz w:val="16"/>
              </w:rPr>
              <w:t>What We Should Commit To</w:t>
            </w:r>
          </w:p>
        </w:tc>
        <w:tc>
          <w:tcPr>
            <w:tcW w:type="dxa" w:w="2952"/>
            <w:vAlign w:val="top"/>
            <w:shd w:fill="1F4E79"/>
          </w:tcPr>
          <w:p>
            <w:pPr>
              <w:spacing w:after="0"/>
            </w:pPr>
            <w:r/>
            <w:r>
              <w:rPr>
                <w:b/>
                <w:color w:val="FFFFFF"/>
                <w:sz w:val="16"/>
              </w:rPr>
              <w:t>Why It Belongs To The WAF Recommendation</w:t>
            </w:r>
          </w:p>
        </w:tc>
        <w:tc>
          <w:tcPr>
            <w:tcW w:type="dxa" w:w="2304"/>
            <w:vAlign w:val="top"/>
            <w:shd w:fill="1F4E79"/>
          </w:tcPr>
          <w:p>
            <w:pPr>
              <w:spacing w:after="0"/>
            </w:pPr>
            <w:r/>
            <w:r>
              <w:rPr>
                <w:b/>
                <w:color w:val="FFFFFF"/>
                <w:sz w:val="16"/>
              </w:rPr>
              <w:t>Expected Output</w:t>
            </w:r>
          </w:p>
        </w:tc>
      </w:tr>
      <w:tr>
        <w:tc>
          <w:tcPr>
            <w:tcW w:type="dxa" w:w="1440"/>
            <w:vAlign w:val="top"/>
          </w:tcPr>
          <w:p>
            <w:pPr>
              <w:spacing w:after="0"/>
            </w:pPr>
            <w:r/>
            <w:r>
              <w:rPr>
                <w:b w:val="0"/>
                <w:sz w:val="16"/>
              </w:rPr>
              <w:t>Code Quality</w:t>
            </w:r>
          </w:p>
        </w:tc>
        <w:tc>
          <w:tcPr>
            <w:tcW w:type="dxa" w:w="1699"/>
            <w:vAlign w:val="top"/>
          </w:tcPr>
          <w:p>
            <w:pPr>
              <w:spacing w:after="0"/>
            </w:pPr>
            <w:r/>
            <w:r>
              <w:rPr>
                <w:b w:val="0"/>
                <w:sz w:val="16"/>
              </w:rPr>
              <w:t>Modules</w:t>
            </w:r>
          </w:p>
        </w:tc>
        <w:tc>
          <w:tcPr>
            <w:tcW w:type="dxa" w:w="1944"/>
            <w:vAlign w:val="top"/>
          </w:tcPr>
          <w:p>
            <w:pPr>
              <w:spacing w:after="0"/>
            </w:pPr>
            <w:r/>
            <w:r>
              <w:rPr>
                <w:b w:val="0"/>
                <w:sz w:val="16"/>
              </w:rPr>
              <w:t>Own recommendation and initial standard; co-own pilot implementation.</w:t>
            </w:r>
          </w:p>
        </w:tc>
        <w:tc>
          <w:tcPr>
            <w:tcW w:type="dxa" w:w="2880"/>
            <w:vAlign w:val="top"/>
          </w:tcPr>
          <w:p>
            <w:pPr>
              <w:spacing w:after="0"/>
            </w:pPr>
            <w:r/>
            <w:r>
              <w:rPr>
                <w:b w:val="0"/>
                <w:sz w:val="16"/>
              </w:rPr>
              <w:t>Define lifecycle-separated module standards, module composition guidance, and transition expectations away from shared local module paths.</w:t>
            </w:r>
          </w:p>
        </w:tc>
        <w:tc>
          <w:tcPr>
            <w:tcW w:type="dxa" w:w="2952"/>
            <w:vAlign w:val="top"/>
          </w:tcPr>
          <w:p>
            <w:pPr>
              <w:spacing w:after="0"/>
            </w:pPr>
            <w:r/>
            <w:r>
              <w:rPr>
                <w:b w:val="0"/>
                <w:sz w:val="16"/>
              </w:rPr>
              <w:t>The WAF review identified module incompleteness, stitching, local path coupling, and weak environment isolation.</w:t>
            </w:r>
          </w:p>
        </w:tc>
        <w:tc>
          <w:tcPr>
            <w:tcW w:type="dxa" w:w="2304"/>
            <w:vAlign w:val="top"/>
          </w:tcPr>
          <w:p>
            <w:pPr>
              <w:spacing w:after="0"/>
            </w:pPr>
            <w:r/>
            <w:r>
              <w:rPr>
                <w:b w:val="0"/>
                <w:sz w:val="16"/>
              </w:rPr>
              <w:t>Terraform module standard and module-composition guidance.</w:t>
            </w:r>
          </w:p>
        </w:tc>
      </w:tr>
      <w:tr>
        <w:tc>
          <w:tcPr>
            <w:tcW w:type="dxa" w:w="1440"/>
            <w:vAlign w:val="top"/>
          </w:tcPr>
          <w:p>
            <w:pPr>
              <w:spacing w:after="0"/>
            </w:pPr>
            <w:r/>
            <w:r>
              <w:rPr>
                <w:b w:val="0"/>
                <w:sz w:val="16"/>
              </w:rPr>
              <w:t>Code Quality</w:t>
            </w:r>
          </w:p>
        </w:tc>
        <w:tc>
          <w:tcPr>
            <w:tcW w:type="dxa" w:w="1699"/>
            <w:vAlign w:val="top"/>
          </w:tcPr>
          <w:p>
            <w:pPr>
              <w:spacing w:after="0"/>
            </w:pPr>
            <w:r/>
            <w:r>
              <w:rPr>
                <w:b w:val="0"/>
                <w:sz w:val="16"/>
              </w:rPr>
              <w:t>Workflow</w:t>
            </w:r>
          </w:p>
        </w:tc>
        <w:tc>
          <w:tcPr>
            <w:tcW w:type="dxa" w:w="1944"/>
            <w:vAlign w:val="top"/>
          </w:tcPr>
          <w:p>
            <w:pPr>
              <w:spacing w:after="0"/>
            </w:pPr>
            <w:r/>
            <w:r>
              <w:rPr>
                <w:b w:val="0"/>
                <w:sz w:val="16"/>
              </w:rPr>
              <w:t>Own validation workflow recommendation and initial ADO pattern.</w:t>
            </w:r>
          </w:p>
        </w:tc>
        <w:tc>
          <w:tcPr>
            <w:tcW w:type="dxa" w:w="2880"/>
            <w:vAlign w:val="top"/>
          </w:tcPr>
          <w:p>
            <w:pPr>
              <w:spacing w:after="0"/>
            </w:pPr>
            <w:r/>
            <w:r>
              <w:rPr>
                <w:b w:val="0"/>
                <w:sz w:val="16"/>
              </w:rPr>
              <w:t>Define the IaC validation workflow for fmt, validate, linting, Checkmarx, Orca, plan generation, plan artifacts, and PR feedback.</w:t>
            </w:r>
          </w:p>
        </w:tc>
        <w:tc>
          <w:tcPr>
            <w:tcW w:type="dxa" w:w="2952"/>
            <w:vAlign w:val="top"/>
          </w:tcPr>
          <w:p>
            <w:pPr>
              <w:spacing w:after="0"/>
            </w:pPr>
            <w:r/>
            <w:r>
              <w:rPr>
                <w:b w:val="0"/>
                <w:sz w:val="16"/>
              </w:rPr>
              <w:t>Automated validation is a direct WAF Automation control and reduces dependence on manual review.</w:t>
            </w:r>
          </w:p>
        </w:tc>
        <w:tc>
          <w:tcPr>
            <w:tcW w:type="dxa" w:w="2304"/>
            <w:vAlign w:val="top"/>
          </w:tcPr>
          <w:p>
            <w:pPr>
              <w:spacing w:after="0"/>
            </w:pPr>
            <w:r/>
            <w:r>
              <w:rPr>
                <w:b w:val="0"/>
                <w:sz w:val="16"/>
              </w:rPr>
              <w:t>ADO IaC validation pipeline pattern.</w:t>
            </w:r>
          </w:p>
        </w:tc>
      </w:tr>
      <w:tr>
        <w:tc>
          <w:tcPr>
            <w:tcW w:type="dxa" w:w="1440"/>
            <w:vAlign w:val="top"/>
          </w:tcPr>
          <w:p>
            <w:pPr>
              <w:spacing w:after="0"/>
            </w:pPr>
            <w:r/>
            <w:r>
              <w:rPr>
                <w:b w:val="0"/>
                <w:sz w:val="16"/>
              </w:rPr>
              <w:t>Code Quality</w:t>
            </w:r>
          </w:p>
        </w:tc>
        <w:tc>
          <w:tcPr>
            <w:tcW w:type="dxa" w:w="1699"/>
            <w:vAlign w:val="top"/>
          </w:tcPr>
          <w:p>
            <w:pPr>
              <w:spacing w:after="0"/>
            </w:pPr>
            <w:r/>
            <w:r>
              <w:rPr>
                <w:b w:val="0"/>
                <w:sz w:val="16"/>
              </w:rPr>
              <w:t>Versioning</w:t>
            </w:r>
          </w:p>
        </w:tc>
        <w:tc>
          <w:tcPr>
            <w:tcW w:type="dxa" w:w="1944"/>
            <w:vAlign w:val="top"/>
          </w:tcPr>
          <w:p>
            <w:pPr>
              <w:spacing w:after="0"/>
            </w:pPr>
            <w:r/>
            <w:r>
              <w:rPr>
                <w:b w:val="0"/>
                <w:sz w:val="16"/>
              </w:rPr>
              <w:t>Own recommendation and transition path.</w:t>
            </w:r>
          </w:p>
        </w:tc>
        <w:tc>
          <w:tcPr>
            <w:tcW w:type="dxa" w:w="2880"/>
            <w:vAlign w:val="top"/>
          </w:tcPr>
          <w:p>
            <w:pPr>
              <w:spacing w:after="0"/>
            </w:pPr>
            <w:r/>
            <w:r>
              <w:rPr>
                <w:b w:val="0"/>
                <w:sz w:val="16"/>
              </w:rPr>
              <w:t>Define how teams move from shared local module paths to versioned modules with environment-specific pins.</w:t>
            </w:r>
          </w:p>
        </w:tc>
        <w:tc>
          <w:tcPr>
            <w:tcW w:type="dxa" w:w="2952"/>
            <w:vAlign w:val="top"/>
          </w:tcPr>
          <w:p>
            <w:pPr>
              <w:spacing w:after="0"/>
            </w:pPr>
            <w:r/>
            <w:r>
              <w:rPr>
                <w:b w:val="0"/>
                <w:sz w:val="16"/>
              </w:rPr>
              <w:t>Branching helps short-term isolation, but durable module lifecycle control requires versioned module consumption.</w:t>
            </w:r>
          </w:p>
        </w:tc>
        <w:tc>
          <w:tcPr>
            <w:tcW w:type="dxa" w:w="2304"/>
            <w:vAlign w:val="top"/>
          </w:tcPr>
          <w:p>
            <w:pPr>
              <w:spacing w:after="0"/>
            </w:pPr>
            <w:r/>
            <w:r>
              <w:rPr>
                <w:b w:val="0"/>
                <w:sz w:val="16"/>
              </w:rPr>
              <w:t>Module versioning and promotion guidance.</w:t>
            </w:r>
          </w:p>
        </w:tc>
      </w:tr>
      <w:tr>
        <w:tc>
          <w:tcPr>
            <w:tcW w:type="dxa" w:w="1440"/>
            <w:vAlign w:val="top"/>
          </w:tcPr>
          <w:p>
            <w:pPr>
              <w:spacing w:after="0"/>
            </w:pPr>
            <w:r/>
            <w:r>
              <w:rPr>
                <w:b w:val="0"/>
                <w:sz w:val="16"/>
              </w:rPr>
              <w:t>Code Quality</w:t>
            </w:r>
          </w:p>
        </w:tc>
        <w:tc>
          <w:tcPr>
            <w:tcW w:type="dxa" w:w="1699"/>
            <w:vAlign w:val="top"/>
          </w:tcPr>
          <w:p>
            <w:pPr>
              <w:spacing w:after="0"/>
            </w:pPr>
            <w:r/>
            <w:r>
              <w:rPr>
                <w:b w:val="0"/>
                <w:sz w:val="16"/>
              </w:rPr>
              <w:t>Code samples and templates</w:t>
            </w:r>
          </w:p>
        </w:tc>
        <w:tc>
          <w:tcPr>
            <w:tcW w:type="dxa" w:w="1944"/>
            <w:vAlign w:val="top"/>
          </w:tcPr>
          <w:p>
            <w:pPr>
              <w:spacing w:after="0"/>
            </w:pPr>
            <w:r/>
            <w:r>
              <w:rPr>
                <w:b w:val="0"/>
                <w:sz w:val="16"/>
              </w:rPr>
              <w:t>Own first reference patterns; co-own adoption.</w:t>
            </w:r>
          </w:p>
        </w:tc>
        <w:tc>
          <w:tcPr>
            <w:tcW w:type="dxa" w:w="2880"/>
            <w:vAlign w:val="top"/>
          </w:tcPr>
          <w:p>
            <w:pPr>
              <w:spacing w:after="0"/>
            </w:pPr>
            <w:r/>
            <w:r>
              <w:rPr>
                <w:b w:val="0"/>
                <w:sz w:val="16"/>
              </w:rPr>
              <w:t>Define golden-path examples that show environment roots, tfvars, backend config, outputs, pinned modules, and validation pipeline usage.</w:t>
            </w:r>
          </w:p>
        </w:tc>
        <w:tc>
          <w:tcPr>
            <w:tcW w:type="dxa" w:w="2952"/>
            <w:vAlign w:val="top"/>
          </w:tcPr>
          <w:p>
            <w:pPr>
              <w:spacing w:after="0"/>
            </w:pPr>
            <w:r/>
            <w:r>
              <w:rPr>
                <w:b w:val="0"/>
                <w:sz w:val="16"/>
              </w:rPr>
              <w:t>Teams need working patterns so they do not keep building custom wrappers or one-off stitches.</w:t>
            </w:r>
          </w:p>
        </w:tc>
        <w:tc>
          <w:tcPr>
            <w:tcW w:type="dxa" w:w="2304"/>
            <w:vAlign w:val="top"/>
          </w:tcPr>
          <w:p>
            <w:pPr>
              <w:spacing w:after="0"/>
            </w:pPr>
            <w:r/>
            <w:r>
              <w:rPr>
                <w:b w:val="0"/>
                <w:sz w:val="16"/>
              </w:rPr>
              <w:t>Reference IaC repo pattern and sample workload templates.</w:t>
            </w:r>
          </w:p>
        </w:tc>
      </w:tr>
      <w:tr>
        <w:tc>
          <w:tcPr>
            <w:tcW w:type="dxa" w:w="1440"/>
            <w:vAlign w:val="top"/>
          </w:tcPr>
          <w:p>
            <w:pPr>
              <w:spacing w:after="0"/>
            </w:pPr>
            <w:r/>
            <w:r>
              <w:rPr>
                <w:b w:val="0"/>
                <w:sz w:val="16"/>
              </w:rPr>
              <w:t>Process Quality</w:t>
            </w:r>
          </w:p>
        </w:tc>
        <w:tc>
          <w:tcPr>
            <w:tcW w:type="dxa" w:w="1699"/>
            <w:vAlign w:val="top"/>
          </w:tcPr>
          <w:p>
            <w:pPr>
              <w:spacing w:after="0"/>
            </w:pPr>
            <w:r/>
            <w:r>
              <w:rPr>
                <w:b w:val="0"/>
                <w:sz w:val="16"/>
              </w:rPr>
              <w:t>Policy</w:t>
            </w:r>
          </w:p>
        </w:tc>
        <w:tc>
          <w:tcPr>
            <w:tcW w:type="dxa" w:w="1944"/>
            <w:vAlign w:val="top"/>
          </w:tcPr>
          <w:p>
            <w:pPr>
              <w:spacing w:after="0"/>
            </w:pPr>
            <w:r/>
            <w:r>
              <w:rPr>
                <w:b w:val="0"/>
                <w:sz w:val="16"/>
              </w:rPr>
              <w:t>Own IaC control recommendation; co-own implementation alignment.</w:t>
            </w:r>
          </w:p>
        </w:tc>
        <w:tc>
          <w:tcPr>
            <w:tcW w:type="dxa" w:w="2880"/>
            <w:vAlign w:val="top"/>
          </w:tcPr>
          <w:p>
            <w:pPr>
              <w:spacing w:after="0"/>
            </w:pPr>
            <w:r/>
            <w:r>
              <w:rPr>
                <w:b w:val="0"/>
                <w:sz w:val="16"/>
              </w:rPr>
              <w:t>Define where policy checks, Checkmarx, Orca, required reviewers, and exception documentation fit into the IaC workflow.</w:t>
            </w:r>
          </w:p>
        </w:tc>
        <w:tc>
          <w:tcPr>
            <w:tcW w:type="dxa" w:w="2952"/>
            <w:vAlign w:val="top"/>
          </w:tcPr>
          <w:p>
            <w:pPr>
              <w:spacing w:after="0"/>
            </w:pPr>
            <w:r/>
            <w:r>
              <w:rPr>
                <w:b w:val="0"/>
                <w:sz w:val="16"/>
              </w:rPr>
              <w:t>The WAF review highlighted late discovery of policy/security issues as an automation maturity risk.</w:t>
            </w:r>
          </w:p>
        </w:tc>
        <w:tc>
          <w:tcPr>
            <w:tcW w:type="dxa" w:w="2304"/>
            <w:vAlign w:val="top"/>
          </w:tcPr>
          <w:p>
            <w:pPr>
              <w:spacing w:after="0"/>
            </w:pPr>
            <w:r/>
            <w:r>
              <w:rPr>
                <w:b w:val="0"/>
                <w:sz w:val="16"/>
              </w:rPr>
              <w:t>IaC policy and scan-control baseline.</w:t>
            </w:r>
          </w:p>
        </w:tc>
      </w:tr>
      <w:tr>
        <w:tc>
          <w:tcPr>
            <w:tcW w:type="dxa" w:w="1440"/>
            <w:vAlign w:val="top"/>
          </w:tcPr>
          <w:p>
            <w:pPr>
              <w:spacing w:after="0"/>
            </w:pPr>
            <w:r/>
            <w:r>
              <w:rPr>
                <w:b w:val="0"/>
                <w:sz w:val="16"/>
              </w:rPr>
              <w:t>Process Quality</w:t>
            </w:r>
          </w:p>
        </w:tc>
        <w:tc>
          <w:tcPr>
            <w:tcW w:type="dxa" w:w="1699"/>
            <w:vAlign w:val="top"/>
          </w:tcPr>
          <w:p>
            <w:pPr>
              <w:spacing w:after="0"/>
            </w:pPr>
            <w:r/>
            <w:r>
              <w:rPr>
                <w:b w:val="0"/>
                <w:sz w:val="16"/>
              </w:rPr>
              <w:t>Best practices</w:t>
            </w:r>
          </w:p>
        </w:tc>
        <w:tc>
          <w:tcPr>
            <w:tcW w:type="dxa" w:w="1944"/>
            <w:vAlign w:val="top"/>
          </w:tcPr>
          <w:p>
            <w:pPr>
              <w:spacing w:after="0"/>
            </w:pPr>
            <w:r/>
            <w:r>
              <w:rPr>
                <w:b w:val="0"/>
                <w:sz w:val="16"/>
              </w:rPr>
              <w:t>Own recommendation.</w:t>
            </w:r>
          </w:p>
        </w:tc>
        <w:tc>
          <w:tcPr>
            <w:tcW w:type="dxa" w:w="2880"/>
            <w:vAlign w:val="top"/>
          </w:tcPr>
          <w:p>
            <w:pPr>
              <w:spacing w:after="0"/>
            </w:pPr>
            <w:r/>
            <w:r>
              <w:rPr>
                <w:b w:val="0"/>
                <w:sz w:val="16"/>
              </w:rPr>
              <w:t>Document branching as an interim control for shared local module paths while identifying HCP/private registry module versioning as the durable target.</w:t>
            </w:r>
          </w:p>
        </w:tc>
        <w:tc>
          <w:tcPr>
            <w:tcW w:type="dxa" w:w="2952"/>
            <w:vAlign w:val="top"/>
          </w:tcPr>
          <w:p>
            <w:pPr>
              <w:spacing w:after="0"/>
            </w:pPr>
            <w:r/>
            <w:r>
              <w:rPr>
                <w:b w:val="0"/>
                <w:sz w:val="16"/>
              </w:rPr>
              <w:t>This directly addresses the environment-isolation issue created by shared local module paths.</w:t>
            </w:r>
          </w:p>
        </w:tc>
        <w:tc>
          <w:tcPr>
            <w:tcW w:type="dxa" w:w="2304"/>
            <w:vAlign w:val="top"/>
          </w:tcPr>
          <w:p>
            <w:pPr>
              <w:spacing w:after="0"/>
            </w:pPr>
            <w:r/>
            <w:r>
              <w:rPr>
                <w:b w:val="0"/>
                <w:sz w:val="16"/>
              </w:rPr>
              <w:t>Branching and module-isolation guidance.</w:t>
            </w:r>
          </w:p>
        </w:tc>
      </w:tr>
      <w:tr>
        <w:tc>
          <w:tcPr>
            <w:tcW w:type="dxa" w:w="1440"/>
            <w:vAlign w:val="top"/>
          </w:tcPr>
          <w:p>
            <w:pPr>
              <w:spacing w:after="0"/>
            </w:pPr>
            <w:r/>
            <w:r>
              <w:rPr>
                <w:b w:val="0"/>
                <w:sz w:val="16"/>
              </w:rPr>
              <w:t>Process Quality</w:t>
            </w:r>
          </w:p>
        </w:tc>
        <w:tc>
          <w:tcPr>
            <w:tcW w:type="dxa" w:w="1699"/>
            <w:vAlign w:val="top"/>
          </w:tcPr>
          <w:p>
            <w:pPr>
              <w:spacing w:after="0"/>
            </w:pPr>
            <w:r/>
            <w:r>
              <w:rPr>
                <w:b w:val="0"/>
                <w:sz w:val="16"/>
              </w:rPr>
              <w:t>Governance</w:t>
            </w:r>
          </w:p>
        </w:tc>
        <w:tc>
          <w:tcPr>
            <w:tcW w:type="dxa" w:w="1944"/>
            <w:vAlign w:val="top"/>
          </w:tcPr>
          <w:p>
            <w:pPr>
              <w:spacing w:after="0"/>
            </w:pPr>
            <w:r/>
            <w:r>
              <w:rPr>
                <w:b w:val="0"/>
                <w:sz w:val="16"/>
              </w:rPr>
              <w:t>Own promotion gate requirements; co-own rollout.</w:t>
            </w:r>
          </w:p>
        </w:tc>
        <w:tc>
          <w:tcPr>
            <w:tcW w:type="dxa" w:w="2880"/>
            <w:vAlign w:val="top"/>
          </w:tcPr>
          <w:p>
            <w:pPr>
              <w:spacing w:after="0"/>
            </w:pPr>
            <w:r/>
            <w:r>
              <w:rPr>
                <w:b w:val="0"/>
                <w:sz w:val="16"/>
              </w:rPr>
              <w:t>Define gate requirements for np1, np2, np3, and prod: plan review, scans, drift, state impact, module version, exceptions, approvals, and rollback readiness.</w:t>
            </w:r>
          </w:p>
        </w:tc>
        <w:tc>
          <w:tcPr>
            <w:tcW w:type="dxa" w:w="2952"/>
            <w:vAlign w:val="top"/>
          </w:tcPr>
          <w:p>
            <w:pPr>
              <w:spacing w:after="0"/>
            </w:pPr>
            <w:r/>
            <w:r>
              <w:rPr>
                <w:b w:val="0"/>
                <w:sz w:val="16"/>
              </w:rPr>
              <w:t>Promotion gates are the WAF automation control; branching, PRs, and pipelines are mechanisms to implement them.</w:t>
            </w:r>
          </w:p>
        </w:tc>
        <w:tc>
          <w:tcPr>
            <w:tcW w:type="dxa" w:w="2304"/>
            <w:vAlign w:val="top"/>
          </w:tcPr>
          <w:p>
            <w:pPr>
              <w:spacing w:after="0"/>
            </w:pPr>
            <w:r/>
            <w:r>
              <w:rPr>
                <w:b w:val="0"/>
                <w:sz w:val="16"/>
              </w:rPr>
              <w:t>IaC promotion gate model and PR evidence checklist.</w:t>
            </w:r>
          </w:p>
        </w:tc>
      </w:tr>
      <w:tr>
        <w:tc>
          <w:tcPr>
            <w:tcW w:type="dxa" w:w="1440"/>
            <w:vAlign w:val="top"/>
          </w:tcPr>
          <w:p>
            <w:pPr>
              <w:spacing w:after="0"/>
            </w:pPr>
            <w:r/>
            <w:r>
              <w:rPr>
                <w:b w:val="0"/>
                <w:sz w:val="16"/>
              </w:rPr>
              <w:t>Process Quality</w:t>
            </w:r>
          </w:p>
        </w:tc>
        <w:tc>
          <w:tcPr>
            <w:tcW w:type="dxa" w:w="1699"/>
            <w:vAlign w:val="top"/>
          </w:tcPr>
          <w:p>
            <w:pPr>
              <w:spacing w:after="0"/>
            </w:pPr>
            <w:r/>
            <w:r>
              <w:rPr>
                <w:b w:val="0"/>
                <w:sz w:val="16"/>
              </w:rPr>
              <w:t>Reporting</w:t>
            </w:r>
          </w:p>
        </w:tc>
        <w:tc>
          <w:tcPr>
            <w:tcW w:type="dxa" w:w="1944"/>
            <w:vAlign w:val="top"/>
          </w:tcPr>
          <w:p>
            <w:pPr>
              <w:spacing w:after="0"/>
            </w:pPr>
            <w:r/>
            <w:r>
              <w:rPr>
                <w:b w:val="0"/>
                <w:sz w:val="16"/>
              </w:rPr>
              <w:t>Own recommendation; provide initial metric set.</w:t>
            </w:r>
          </w:p>
        </w:tc>
        <w:tc>
          <w:tcPr>
            <w:tcW w:type="dxa" w:w="2880"/>
            <w:vAlign w:val="top"/>
          </w:tcPr>
          <w:p>
            <w:pPr>
              <w:spacing w:after="0"/>
            </w:pPr>
            <w:r/>
            <w:r>
              <w:rPr>
                <w:b w:val="0"/>
                <w:sz w:val="16"/>
              </w:rPr>
              <w:t>Define metrics for validation pass rate, scan exceptions, drift status, module adoption, promotion lead time, and retrofit progress.</w:t>
            </w:r>
          </w:p>
        </w:tc>
        <w:tc>
          <w:tcPr>
            <w:tcW w:type="dxa" w:w="2952"/>
            <w:vAlign w:val="top"/>
          </w:tcPr>
          <w:p>
            <w:pPr>
              <w:spacing w:after="0"/>
            </w:pPr>
            <w:r/>
            <w:r>
              <w:rPr>
                <w:b w:val="0"/>
                <w:sz w:val="16"/>
              </w:rPr>
              <w:t>Without reporting, the roadmap cannot show whether IaC quality and adoption are improving.</w:t>
            </w:r>
          </w:p>
        </w:tc>
        <w:tc>
          <w:tcPr>
            <w:tcW w:type="dxa" w:w="2304"/>
            <w:vAlign w:val="top"/>
          </w:tcPr>
          <w:p>
            <w:pPr>
              <w:spacing w:after="0"/>
            </w:pPr>
            <w:r/>
            <w:r>
              <w:rPr>
                <w:b w:val="0"/>
                <w:sz w:val="16"/>
              </w:rPr>
              <w:t>IaC scorecard metric recommendations.</w:t>
            </w:r>
          </w:p>
        </w:tc>
      </w:tr>
      <w:tr>
        <w:tc>
          <w:tcPr>
            <w:tcW w:type="dxa" w:w="1440"/>
            <w:vAlign w:val="top"/>
          </w:tcPr>
          <w:p>
            <w:pPr>
              <w:spacing w:after="0"/>
            </w:pPr>
            <w:r/>
            <w:r>
              <w:rPr>
                <w:b w:val="0"/>
                <w:sz w:val="16"/>
              </w:rPr>
              <w:t>Developer Involvement</w:t>
            </w:r>
          </w:p>
        </w:tc>
        <w:tc>
          <w:tcPr>
            <w:tcW w:type="dxa" w:w="1699"/>
            <w:vAlign w:val="top"/>
          </w:tcPr>
          <w:p>
            <w:pPr>
              <w:spacing w:after="0"/>
            </w:pPr>
            <w:r/>
            <w:r>
              <w:rPr>
                <w:b w:val="0"/>
                <w:sz w:val="16"/>
              </w:rPr>
              <w:t>Project samples</w:t>
            </w:r>
          </w:p>
        </w:tc>
        <w:tc>
          <w:tcPr>
            <w:tcW w:type="dxa" w:w="1944"/>
            <w:vAlign w:val="top"/>
          </w:tcPr>
          <w:p>
            <w:pPr>
              <w:spacing w:after="0"/>
            </w:pPr>
            <w:r/>
            <w:r>
              <w:rPr>
                <w:b w:val="0"/>
                <w:sz w:val="16"/>
              </w:rPr>
              <w:t>Own initial sample expectations; co-own pilot rollout.</w:t>
            </w:r>
          </w:p>
        </w:tc>
        <w:tc>
          <w:tcPr>
            <w:tcW w:type="dxa" w:w="2880"/>
            <w:vAlign w:val="top"/>
          </w:tcPr>
          <w:p>
            <w:pPr>
              <w:spacing w:after="0"/>
            </w:pPr>
            <w:r/>
            <w:r>
              <w:rPr>
                <w:b w:val="0"/>
                <w:sz w:val="16"/>
              </w:rPr>
              <w:t>Provide practical examples that help app teams consume approved modules and workflow patterns without needing deep IaC expertise.</w:t>
            </w:r>
          </w:p>
        </w:tc>
        <w:tc>
          <w:tcPr>
            <w:tcW w:type="dxa" w:w="2952"/>
            <w:vAlign w:val="top"/>
          </w:tcPr>
          <w:p>
            <w:pPr>
              <w:spacing w:after="0"/>
            </w:pPr>
            <w:r/>
            <w:r>
              <w:rPr>
                <w:b w:val="0"/>
                <w:sz w:val="16"/>
              </w:rPr>
              <w:t>This turns the WAF recommendations into usable developer patterns.</w:t>
            </w:r>
          </w:p>
        </w:tc>
        <w:tc>
          <w:tcPr>
            <w:tcW w:type="dxa" w:w="2304"/>
            <w:vAlign w:val="top"/>
          </w:tcPr>
          <w:p>
            <w:pPr>
              <w:spacing w:after="0"/>
            </w:pPr>
            <w:r/>
            <w:r>
              <w:rPr>
                <w:b w:val="0"/>
                <w:sz w:val="16"/>
              </w:rPr>
              <w:t>Golden-path sample requirements.</w:t>
            </w:r>
          </w:p>
        </w:tc>
      </w:tr>
      <w:tr>
        <w:tc>
          <w:tcPr>
            <w:tcW w:type="dxa" w:w="1440"/>
            <w:vAlign w:val="top"/>
          </w:tcPr>
          <w:p>
            <w:pPr>
              <w:spacing w:after="0"/>
            </w:pPr>
            <w:r/>
            <w:r>
              <w:rPr>
                <w:b w:val="0"/>
                <w:sz w:val="16"/>
              </w:rPr>
              <w:t>Developer Involvement</w:t>
            </w:r>
          </w:p>
        </w:tc>
        <w:tc>
          <w:tcPr>
            <w:tcW w:type="dxa" w:w="1699"/>
            <w:vAlign w:val="top"/>
          </w:tcPr>
          <w:p>
            <w:pPr>
              <w:spacing w:after="0"/>
            </w:pPr>
            <w:r/>
            <w:r>
              <w:rPr>
                <w:b w:val="0"/>
                <w:sz w:val="16"/>
              </w:rPr>
              <w:t>Promotion gates</w:t>
            </w:r>
          </w:p>
        </w:tc>
        <w:tc>
          <w:tcPr>
            <w:tcW w:type="dxa" w:w="1944"/>
            <w:vAlign w:val="top"/>
          </w:tcPr>
          <w:p>
            <w:pPr>
              <w:spacing w:after="0"/>
            </w:pPr>
            <w:r/>
            <w:r>
              <w:rPr>
                <w:b w:val="0"/>
                <w:sz w:val="16"/>
              </w:rPr>
              <w:t>Own developer-facing gate requirements; co-own adoption.</w:t>
            </w:r>
          </w:p>
        </w:tc>
        <w:tc>
          <w:tcPr>
            <w:tcW w:type="dxa" w:w="2880"/>
            <w:vAlign w:val="top"/>
          </w:tcPr>
          <w:p>
            <w:pPr>
              <w:spacing w:after="0"/>
            </w:pPr>
            <w:r/>
            <w:r>
              <w:rPr>
                <w:b w:val="0"/>
                <w:sz w:val="16"/>
              </w:rPr>
              <w:t>Make the promotion path understandable before release time, including what evidence a team needs in PRs and pipeline output.</w:t>
            </w:r>
          </w:p>
        </w:tc>
        <w:tc>
          <w:tcPr>
            <w:tcW w:type="dxa" w:w="2952"/>
            <w:vAlign w:val="top"/>
          </w:tcPr>
          <w:p>
            <w:pPr>
              <w:spacing w:after="0"/>
            </w:pPr>
            <w:r/>
            <w:r>
              <w:rPr>
                <w:b w:val="0"/>
                <w:sz w:val="16"/>
              </w:rPr>
              <w:t>The WAF review supports predictable, governed movement across environments.</w:t>
            </w:r>
          </w:p>
        </w:tc>
        <w:tc>
          <w:tcPr>
            <w:tcW w:type="dxa" w:w="2304"/>
            <w:vAlign w:val="top"/>
          </w:tcPr>
          <w:p>
            <w:pPr>
              <w:spacing w:after="0"/>
            </w:pPr>
            <w:r/>
            <w:r>
              <w:rPr>
                <w:b w:val="0"/>
                <w:sz w:val="16"/>
              </w:rPr>
              <w:t>Developer-facing promotion checklist.</w:t>
            </w:r>
          </w:p>
        </w:tc>
      </w:tr>
      <w:tr>
        <w:tc>
          <w:tcPr>
            <w:tcW w:type="dxa" w:w="1440"/>
            <w:vAlign w:val="top"/>
          </w:tcPr>
          <w:p>
            <w:pPr>
              <w:spacing w:after="0"/>
            </w:pPr>
            <w:r/>
            <w:r>
              <w:rPr>
                <w:b w:val="0"/>
                <w:sz w:val="16"/>
              </w:rPr>
              <w:t>Developer Involvement</w:t>
            </w:r>
          </w:p>
        </w:tc>
        <w:tc>
          <w:tcPr>
            <w:tcW w:type="dxa" w:w="1699"/>
            <w:vAlign w:val="top"/>
          </w:tcPr>
          <w:p>
            <w:pPr>
              <w:spacing w:after="0"/>
            </w:pPr>
            <w:r/>
            <w:r>
              <w:rPr>
                <w:b w:val="0"/>
                <w:sz w:val="16"/>
              </w:rPr>
              <w:t>Feedback loop</w:t>
            </w:r>
          </w:p>
        </w:tc>
        <w:tc>
          <w:tcPr>
            <w:tcW w:type="dxa" w:w="1944"/>
            <w:vAlign w:val="top"/>
          </w:tcPr>
          <w:p>
            <w:pPr>
              <w:spacing w:after="0"/>
            </w:pPr>
            <w:r/>
            <w:r>
              <w:rPr>
                <w:b w:val="0"/>
                <w:sz w:val="16"/>
              </w:rPr>
              <w:t>Co-own setup recommendation; long-term ownership should transition.</w:t>
            </w:r>
          </w:p>
        </w:tc>
        <w:tc>
          <w:tcPr>
            <w:tcW w:type="dxa" w:w="2880"/>
            <w:vAlign w:val="top"/>
          </w:tcPr>
          <w:p>
            <w:pPr>
              <w:spacing w:after="0"/>
            </w:pPr>
            <w:r/>
            <w:r>
              <w:rPr>
                <w:b w:val="0"/>
                <w:sz w:val="16"/>
              </w:rPr>
              <w:t>Define how PR friction, scan exceptions, module gaps, and retrofit blockers become backlog items.</w:t>
            </w:r>
          </w:p>
        </w:tc>
        <w:tc>
          <w:tcPr>
            <w:tcW w:type="dxa" w:w="2952"/>
            <w:vAlign w:val="top"/>
          </w:tcPr>
          <w:p>
            <w:pPr>
              <w:spacing w:after="0"/>
            </w:pPr>
            <w:r/>
            <w:r>
              <w:rPr>
                <w:b w:val="0"/>
                <w:sz w:val="16"/>
              </w:rPr>
              <w:t>Adoption risk remains if issues stay informal and do not feed platform improvement.</w:t>
            </w:r>
          </w:p>
        </w:tc>
        <w:tc>
          <w:tcPr>
            <w:tcW w:type="dxa" w:w="2304"/>
            <w:vAlign w:val="top"/>
          </w:tcPr>
          <w:p>
            <w:pPr>
              <w:spacing w:after="0"/>
            </w:pPr>
            <w:r/>
            <w:r>
              <w:rPr>
                <w:b w:val="0"/>
                <w:sz w:val="16"/>
              </w:rPr>
              <w:t>Feedback categories and backlog routing model.</w:t>
            </w:r>
          </w:p>
        </w:tc>
      </w:tr>
      <w:tr>
        <w:tc>
          <w:tcPr>
            <w:tcW w:type="dxa" w:w="1440"/>
            <w:vAlign w:val="top"/>
          </w:tcPr>
          <w:p>
            <w:pPr>
              <w:spacing w:after="0"/>
            </w:pPr>
            <w:r/>
            <w:r>
              <w:rPr>
                <w:b w:val="0"/>
                <w:sz w:val="16"/>
              </w:rPr>
              <w:t>Developer Involvement</w:t>
            </w:r>
          </w:p>
        </w:tc>
        <w:tc>
          <w:tcPr>
            <w:tcW w:type="dxa" w:w="1699"/>
            <w:vAlign w:val="top"/>
          </w:tcPr>
          <w:p>
            <w:pPr>
              <w:spacing w:after="0"/>
            </w:pPr>
            <w:r/>
            <w:r>
              <w:rPr>
                <w:b w:val="0"/>
                <w:sz w:val="16"/>
              </w:rPr>
              <w:t>Self-service portal</w:t>
            </w:r>
          </w:p>
        </w:tc>
        <w:tc>
          <w:tcPr>
            <w:tcW w:type="dxa" w:w="1944"/>
            <w:vAlign w:val="top"/>
          </w:tcPr>
          <w:p>
            <w:pPr>
              <w:spacing w:after="0"/>
            </w:pPr>
            <w:r/>
            <w:r>
              <w:rPr>
                <w:b w:val="0"/>
                <w:sz w:val="16"/>
              </w:rPr>
              <w:t>Provide input only; do not own portal operations.</w:t>
            </w:r>
          </w:p>
        </w:tc>
        <w:tc>
          <w:tcPr>
            <w:tcW w:type="dxa" w:w="2880"/>
            <w:vAlign w:val="top"/>
          </w:tcPr>
          <w:p>
            <w:pPr>
              <w:spacing w:after="0"/>
            </w:pPr>
            <w:r/>
            <w:r>
              <w:rPr>
                <w:b w:val="0"/>
                <w:sz w:val="16"/>
              </w:rPr>
              <w:t>Define what any self-service path should expose: approved patterns, module versions, validation expectations, promotion gates, and support intake.</w:t>
            </w:r>
          </w:p>
        </w:tc>
        <w:tc>
          <w:tcPr>
            <w:tcW w:type="dxa" w:w="2952"/>
            <w:vAlign w:val="top"/>
          </w:tcPr>
          <w:p>
            <w:pPr>
              <w:spacing w:after="0"/>
            </w:pPr>
            <w:r/>
            <w:r>
              <w:rPr>
                <w:b w:val="0"/>
                <w:sz w:val="16"/>
              </w:rPr>
              <w:t>Self-service must make approved IaC easier to consume for non-IaC engineers.</w:t>
            </w:r>
          </w:p>
        </w:tc>
        <w:tc>
          <w:tcPr>
            <w:tcW w:type="dxa" w:w="2304"/>
            <w:vAlign w:val="top"/>
          </w:tcPr>
          <w:p>
            <w:pPr>
              <w:spacing w:after="0"/>
            </w:pPr>
            <w:r/>
            <w:r>
              <w:rPr>
                <w:b w:val="0"/>
                <w:sz w:val="16"/>
              </w:rPr>
              <w:t>Self-service requirements for IaC patterns.</w:t>
            </w:r>
          </w:p>
        </w:tc>
      </w:tr>
    </w:tbl>
    <w:p/>
    <w:p>
      <w:pPr>
        <w:pStyle w:val="Heading1"/>
      </w:pPr>
      <w:r>
        <w:t>3. Implementation Mechanisms</w:t>
      </w:r>
    </w:p>
    <w:p>
      <w:r>
        <w:t>The items below are mechanisms we can use to deliver the WAF-aligned roadmap items. They should be discussed as supporting artifacts, not as standalone ownership areas.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088"/>
            <w:vAlign w:val="top"/>
            <w:shd w:fill="1F4E79"/>
          </w:tcPr>
          <w:p>
            <w:pPr>
              <w:spacing w:after="0"/>
            </w:pPr>
            <w:r/>
            <w:r>
              <w:rPr>
                <w:b/>
                <w:color w:val="FFFFFF"/>
                <w:sz w:val="16"/>
              </w:rPr>
              <w:t>Mechanism</w:t>
            </w:r>
          </w:p>
        </w:tc>
        <w:tc>
          <w:tcPr>
            <w:tcW w:type="dxa" w:w="2592"/>
            <w:vAlign w:val="top"/>
            <w:shd w:fill="1F4E79"/>
          </w:tcPr>
          <w:p>
            <w:pPr>
              <w:spacing w:after="0"/>
            </w:pPr>
            <w:r/>
            <w:r>
              <w:rPr>
                <w:b/>
                <w:color w:val="FFFFFF"/>
                <w:sz w:val="16"/>
              </w:rPr>
              <w:t>Supports</w:t>
            </w:r>
          </w:p>
        </w:tc>
        <w:tc>
          <w:tcPr>
            <w:tcW w:type="dxa" w:w="3168"/>
            <w:vAlign w:val="top"/>
            <w:shd w:fill="1F4E79"/>
          </w:tcPr>
          <w:p>
            <w:pPr>
              <w:spacing w:after="0"/>
            </w:pPr>
            <w:r/>
            <w:r>
              <w:rPr>
                <w:b/>
                <w:color w:val="FFFFFF"/>
                <w:sz w:val="16"/>
              </w:rPr>
              <w:t>How We Should Position It</w:t>
            </w:r>
          </w:p>
        </w:tc>
        <w:tc>
          <w:tcPr>
            <w:tcW w:type="dxa" w:w="3096"/>
            <w:vAlign w:val="top"/>
            <w:shd w:fill="1F4E79"/>
          </w:tcPr>
          <w:p>
            <w:pPr>
              <w:spacing w:after="0"/>
            </w:pPr>
            <w:r/>
            <w:r>
              <w:rPr>
                <w:b/>
                <w:color w:val="FFFFFF"/>
                <w:sz w:val="16"/>
              </w:rPr>
              <w:t>Why It Matters</w:t>
            </w:r>
          </w:p>
        </w:tc>
      </w:tr>
      <w:tr>
        <w:tc>
          <w:tcPr>
            <w:tcW w:type="dxa" w:w="2088"/>
            <w:vAlign w:val="top"/>
          </w:tcPr>
          <w:p>
            <w:pPr>
              <w:spacing w:after="0"/>
            </w:pPr>
            <w:r/>
            <w:r>
              <w:rPr>
                <w:b w:val="0"/>
                <w:sz w:val="16"/>
              </w:rPr>
              <w:t>Branching strategy</w:t>
            </w:r>
          </w:p>
        </w:tc>
        <w:tc>
          <w:tcPr>
            <w:tcW w:type="dxa" w:w="2592"/>
            <w:vAlign w:val="top"/>
          </w:tcPr>
          <w:p>
            <w:pPr>
              <w:spacing w:after="0"/>
            </w:pPr>
            <w:r/>
            <w:r>
              <w:rPr>
                <w:b w:val="0"/>
                <w:sz w:val="16"/>
              </w:rPr>
              <w:t>Code Quality: versioning; Process Quality: governance and promotion.</w:t>
            </w:r>
          </w:p>
        </w:tc>
        <w:tc>
          <w:tcPr>
            <w:tcW w:type="dxa" w:w="3168"/>
            <w:vAlign w:val="top"/>
          </w:tcPr>
          <w:p>
            <w:pPr>
              <w:spacing w:after="0"/>
            </w:pPr>
            <w:r/>
            <w:r>
              <w:rPr>
                <w:b w:val="0"/>
                <w:sz w:val="16"/>
              </w:rPr>
              <w:t>Interim control for shared local module paths and environment-isolation risk.</w:t>
            </w:r>
          </w:p>
        </w:tc>
        <w:tc>
          <w:tcPr>
            <w:tcW w:type="dxa" w:w="3096"/>
            <w:vAlign w:val="top"/>
          </w:tcPr>
          <w:p>
            <w:pPr>
              <w:spacing w:after="0"/>
            </w:pPr>
            <w:r/>
            <w:r>
              <w:rPr>
                <w:b w:val="0"/>
                <w:sz w:val="16"/>
              </w:rPr>
              <w:t>It controls when code moves, but versioned module consumption controls what each environment consumes.</w:t>
            </w:r>
          </w:p>
        </w:tc>
      </w:tr>
      <w:tr>
        <w:tc>
          <w:tcPr>
            <w:tcW w:type="dxa" w:w="2088"/>
            <w:vAlign w:val="top"/>
          </w:tcPr>
          <w:p>
            <w:pPr>
              <w:spacing w:after="0"/>
            </w:pPr>
            <w:r/>
            <w:r>
              <w:rPr>
                <w:b w:val="0"/>
                <w:sz w:val="16"/>
              </w:rPr>
              <w:t>IaC PR template</w:t>
            </w:r>
          </w:p>
        </w:tc>
        <w:tc>
          <w:tcPr>
            <w:tcW w:type="dxa" w:w="2592"/>
            <w:vAlign w:val="top"/>
          </w:tcPr>
          <w:p>
            <w:pPr>
              <w:spacing w:after="0"/>
            </w:pPr>
            <w:r/>
            <w:r>
              <w:rPr>
                <w:b w:val="0"/>
                <w:sz w:val="16"/>
              </w:rPr>
              <w:t>Code Quality: workflow; Process Quality: governance; Developer Involvement: promotion clarity.</w:t>
            </w:r>
          </w:p>
        </w:tc>
        <w:tc>
          <w:tcPr>
            <w:tcW w:type="dxa" w:w="3168"/>
            <w:vAlign w:val="top"/>
          </w:tcPr>
          <w:p>
            <w:pPr>
              <w:spacing w:after="0"/>
            </w:pPr>
            <w:r/>
            <w:r>
              <w:rPr>
                <w:b w:val="0"/>
                <w:sz w:val="16"/>
              </w:rPr>
              <w:t>Developer-facing evidence checklist for infrastructure changes.</w:t>
            </w:r>
          </w:p>
        </w:tc>
        <w:tc>
          <w:tcPr>
            <w:tcW w:type="dxa" w:w="3096"/>
            <w:vAlign w:val="top"/>
          </w:tcPr>
          <w:p>
            <w:pPr>
              <w:spacing w:after="0"/>
            </w:pPr>
            <w:r/>
            <w:r>
              <w:rPr>
                <w:b w:val="0"/>
                <w:sz w:val="16"/>
              </w:rPr>
              <w:t>Makes module version, state impact, scan results, exceptions, environment impact, and rollback notes visible during review.</w:t>
            </w:r>
          </w:p>
        </w:tc>
      </w:tr>
      <w:tr>
        <w:tc>
          <w:tcPr>
            <w:tcW w:type="dxa" w:w="2088"/>
            <w:vAlign w:val="top"/>
          </w:tcPr>
          <w:p>
            <w:pPr>
              <w:spacing w:after="0"/>
            </w:pPr>
            <w:r/>
            <w:r>
              <w:rPr>
                <w:b w:val="0"/>
                <w:sz w:val="16"/>
              </w:rPr>
              <w:t>ADO IaC validation pipeline</w:t>
            </w:r>
          </w:p>
        </w:tc>
        <w:tc>
          <w:tcPr>
            <w:tcW w:type="dxa" w:w="2592"/>
            <w:vAlign w:val="top"/>
          </w:tcPr>
          <w:p>
            <w:pPr>
              <w:spacing w:after="0"/>
            </w:pPr>
            <w:r/>
            <w:r>
              <w:rPr>
                <w:b w:val="0"/>
                <w:sz w:val="16"/>
              </w:rPr>
              <w:t>Code Quality: workflow; Process Quality: policy and reporting.</w:t>
            </w:r>
          </w:p>
        </w:tc>
        <w:tc>
          <w:tcPr>
            <w:tcW w:type="dxa" w:w="3168"/>
            <w:vAlign w:val="top"/>
          </w:tcPr>
          <w:p>
            <w:pPr>
              <w:spacing w:after="0"/>
            </w:pPr>
            <w:r/>
            <w:r>
              <w:rPr>
                <w:b w:val="0"/>
                <w:sz w:val="16"/>
              </w:rPr>
              <w:t>Reusable validation pattern for new and existing repositories.</w:t>
            </w:r>
          </w:p>
        </w:tc>
        <w:tc>
          <w:tcPr>
            <w:tcW w:type="dxa" w:w="3096"/>
            <w:vAlign w:val="top"/>
          </w:tcPr>
          <w:p>
            <w:pPr>
              <w:spacing w:after="0"/>
            </w:pPr>
            <w:r/>
            <w:r>
              <w:rPr>
                <w:b w:val="0"/>
                <w:sz w:val="16"/>
              </w:rPr>
              <w:t>Automates Terraform checks, Checkmarx, Orca, plan generation, artifacts, and PR feedback.</w:t>
            </w:r>
          </w:p>
        </w:tc>
      </w:tr>
      <w:tr>
        <w:tc>
          <w:tcPr>
            <w:tcW w:type="dxa" w:w="2088"/>
            <w:vAlign w:val="top"/>
          </w:tcPr>
          <w:p>
            <w:pPr>
              <w:spacing w:after="0"/>
            </w:pPr>
            <w:r/>
            <w:r>
              <w:rPr>
                <w:b w:val="0"/>
                <w:sz w:val="16"/>
              </w:rPr>
              <w:t>Existing-repo retrofit</w:t>
            </w:r>
          </w:p>
        </w:tc>
        <w:tc>
          <w:tcPr>
            <w:tcW w:type="dxa" w:w="2592"/>
            <w:vAlign w:val="top"/>
          </w:tcPr>
          <w:p>
            <w:pPr>
              <w:spacing w:after="0"/>
            </w:pPr>
            <w:r/>
            <w:r>
              <w:rPr>
                <w:b w:val="0"/>
                <w:sz w:val="16"/>
              </w:rPr>
              <w:t>Process Quality: best practices/governance; Developer Involvement: adoption.</w:t>
            </w:r>
          </w:p>
        </w:tc>
        <w:tc>
          <w:tcPr>
            <w:tcW w:type="dxa" w:w="3168"/>
            <w:vAlign w:val="top"/>
          </w:tcPr>
          <w:p>
            <w:pPr>
              <w:spacing w:after="0"/>
            </w:pPr>
            <w:r/>
            <w:r>
              <w:rPr>
                <w:b w:val="0"/>
                <w:sz w:val="16"/>
              </w:rPr>
              <w:t>Adoption path for current repositories so standards are not limited to newly bootstrapped repos.</w:t>
            </w:r>
          </w:p>
        </w:tc>
        <w:tc>
          <w:tcPr>
            <w:tcW w:type="dxa" w:w="3096"/>
            <w:vAlign w:val="top"/>
          </w:tcPr>
          <w:p>
            <w:pPr>
              <w:spacing w:after="0"/>
            </w:pPr>
            <w:r/>
            <w:r>
              <w:rPr>
                <w:b w:val="0"/>
                <w:sz w:val="16"/>
              </w:rPr>
              <w:t>Extends PR templates, validation pipelines, linting, Orca, Checkmarx, and required checks to existing repos.</w:t>
            </w:r>
          </w:p>
        </w:tc>
      </w:tr>
      <w:tr>
        <w:tc>
          <w:tcPr>
            <w:tcW w:type="dxa" w:w="2088"/>
            <w:vAlign w:val="top"/>
          </w:tcPr>
          <w:p>
            <w:pPr>
              <w:spacing w:after="0"/>
            </w:pPr>
            <w:r/>
            <w:r>
              <w:rPr>
                <w:b w:val="0"/>
                <w:sz w:val="16"/>
              </w:rPr>
              <w:t>Versioned module consumption</w:t>
            </w:r>
          </w:p>
        </w:tc>
        <w:tc>
          <w:tcPr>
            <w:tcW w:type="dxa" w:w="2592"/>
            <w:vAlign w:val="top"/>
          </w:tcPr>
          <w:p>
            <w:pPr>
              <w:spacing w:after="0"/>
            </w:pPr>
            <w:r/>
            <w:r>
              <w:rPr>
                <w:b w:val="0"/>
                <w:sz w:val="16"/>
              </w:rPr>
              <w:t>Code Quality: modules/versioning; Process Quality: promotion gates.</w:t>
            </w:r>
          </w:p>
        </w:tc>
        <w:tc>
          <w:tcPr>
            <w:tcW w:type="dxa" w:w="3168"/>
            <w:vAlign w:val="top"/>
          </w:tcPr>
          <w:p>
            <w:pPr>
              <w:spacing w:after="0"/>
            </w:pPr>
            <w:r/>
            <w:r>
              <w:rPr>
                <w:b w:val="0"/>
                <w:sz w:val="16"/>
              </w:rPr>
              <w:t>Durable target for environment isolation and module lifecycle management.</w:t>
            </w:r>
          </w:p>
        </w:tc>
        <w:tc>
          <w:tcPr>
            <w:tcW w:type="dxa" w:w="3096"/>
            <w:vAlign w:val="top"/>
          </w:tcPr>
          <w:p>
            <w:pPr>
              <w:spacing w:after="0"/>
            </w:pPr>
            <w:r/>
            <w:r>
              <w:rPr>
                <w:b w:val="0"/>
                <w:sz w:val="16"/>
              </w:rPr>
              <w:t>Allows environments to consume different approved module versions without relying on shared mutable local paths.</w:t>
            </w:r>
          </w:p>
        </w:tc>
      </w:tr>
      <w:tr>
        <w:tc>
          <w:tcPr>
            <w:tcW w:type="dxa" w:w="2088"/>
            <w:vAlign w:val="top"/>
          </w:tcPr>
          <w:p>
            <w:pPr>
              <w:spacing w:after="0"/>
            </w:pPr>
            <w:r/>
            <w:r>
              <w:rPr>
                <w:b w:val="0"/>
                <w:sz w:val="16"/>
              </w:rPr>
              <w:t>Promotion gates</w:t>
            </w:r>
          </w:p>
        </w:tc>
        <w:tc>
          <w:tcPr>
            <w:tcW w:type="dxa" w:w="2592"/>
            <w:vAlign w:val="top"/>
          </w:tcPr>
          <w:p>
            <w:pPr>
              <w:spacing w:after="0"/>
            </w:pPr>
            <w:r/>
            <w:r>
              <w:rPr>
                <w:b w:val="0"/>
                <w:sz w:val="16"/>
              </w:rPr>
              <w:t>Process Quality: governance/policy/reporting; Developer Involvement: release clarity.</w:t>
            </w:r>
          </w:p>
        </w:tc>
        <w:tc>
          <w:tcPr>
            <w:tcW w:type="dxa" w:w="3168"/>
            <w:vAlign w:val="top"/>
          </w:tcPr>
          <w:p>
            <w:pPr>
              <w:spacing w:after="0"/>
            </w:pPr>
            <w:r/>
            <w:r>
              <w:rPr>
                <w:b w:val="0"/>
                <w:sz w:val="16"/>
              </w:rPr>
              <w:t>Control requirements implemented through PRs, branches, ADO environments, approvals, or pipeline stages.</w:t>
            </w:r>
          </w:p>
        </w:tc>
        <w:tc>
          <w:tcPr>
            <w:tcW w:type="dxa" w:w="3096"/>
            <w:vAlign w:val="top"/>
          </w:tcPr>
          <w:p>
            <w:pPr>
              <w:spacing w:after="0"/>
            </w:pPr>
            <w:r/>
            <w:r>
              <w:rPr>
                <w:b w:val="0"/>
                <w:sz w:val="16"/>
              </w:rPr>
              <w:t>Ensures plan review, scan status, drift status, state impact, module version, approvals, exceptions, and rollback readiness are checked before promotion.</w:t>
            </w:r>
          </w:p>
        </w:tc>
      </w:tr>
    </w:tbl>
    <w:p/>
    <w:p>
      <w:pPr>
        <w:pStyle w:val="Heading1"/>
      </w:pPr>
      <w:r>
        <w:t>4. Ownership Boundaries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728"/>
            <w:vAlign w:val="top"/>
            <w:shd w:fill="1F4E79"/>
          </w:tcPr>
          <w:p>
            <w:pPr>
              <w:spacing w:after="0"/>
            </w:pPr>
            <w:r/>
            <w:r>
              <w:rPr>
                <w:b/>
                <w:color w:val="FFFFFF"/>
                <w:sz w:val="16"/>
              </w:rPr>
              <w:t>Category</w:t>
            </w:r>
          </w:p>
        </w:tc>
        <w:tc>
          <w:tcPr>
            <w:tcW w:type="dxa" w:w="3240"/>
            <w:vAlign w:val="top"/>
            <w:shd w:fill="1F4E79"/>
          </w:tcPr>
          <w:p>
            <w:pPr>
              <w:spacing w:after="0"/>
            </w:pPr>
            <w:r/>
            <w:r>
              <w:rPr>
                <w:b/>
                <w:color w:val="FFFFFF"/>
                <w:sz w:val="16"/>
              </w:rPr>
              <w:t>We Should Own</w:t>
            </w:r>
          </w:p>
        </w:tc>
        <w:tc>
          <w:tcPr>
            <w:tcW w:type="dxa" w:w="3240"/>
            <w:vAlign w:val="top"/>
            <w:shd w:fill="1F4E79"/>
          </w:tcPr>
          <w:p>
            <w:pPr>
              <w:spacing w:after="0"/>
            </w:pPr>
            <w:r/>
            <w:r>
              <w:rPr>
                <w:b/>
                <w:color w:val="FFFFFF"/>
                <w:sz w:val="16"/>
              </w:rPr>
              <w:t>We Should Co-Own / Influence</w:t>
            </w:r>
          </w:p>
        </w:tc>
        <w:tc>
          <w:tcPr>
            <w:tcW w:type="dxa" w:w="3240"/>
            <w:vAlign w:val="top"/>
            <w:shd w:fill="1F4E79"/>
          </w:tcPr>
          <w:p>
            <w:pPr>
              <w:spacing w:after="0"/>
            </w:pPr>
            <w:r/>
            <w:r>
              <w:rPr>
                <w:b/>
                <w:color w:val="FFFFFF"/>
                <w:sz w:val="16"/>
              </w:rPr>
              <w:t>We Should Not Own Long Term</w:t>
            </w:r>
          </w:p>
        </w:tc>
      </w:tr>
      <w:tr>
        <w:tc>
          <w:tcPr>
            <w:tcW w:type="dxa" w:w="1728"/>
            <w:vAlign w:val="top"/>
          </w:tcPr>
          <w:p>
            <w:pPr>
              <w:spacing w:after="0"/>
            </w:pPr>
            <w:r/>
            <w:r>
              <w:rPr>
                <w:b w:val="0"/>
                <w:sz w:val="16"/>
              </w:rPr>
              <w:t>Code Quality</w:t>
            </w:r>
          </w:p>
        </w:tc>
        <w:tc>
          <w:tcPr>
            <w:tcW w:type="dxa" w:w="3240"/>
            <w:vAlign w:val="top"/>
          </w:tcPr>
          <w:p>
            <w:pPr>
              <w:spacing w:after="0"/>
            </w:pPr>
            <w:r/>
            <w:r>
              <w:rPr>
                <w:b w:val="0"/>
                <w:sz w:val="16"/>
              </w:rPr>
              <w:t>Module standards, versioning transition, validation workflow requirements, and initial reference patterns.</w:t>
            </w:r>
          </w:p>
        </w:tc>
        <w:tc>
          <w:tcPr>
            <w:tcW w:type="dxa" w:w="3240"/>
            <w:vAlign w:val="top"/>
          </w:tcPr>
          <w:p>
            <w:pPr>
              <w:spacing w:after="0"/>
            </w:pPr>
            <w:r/>
            <w:r>
              <w:rPr>
                <w:b w:val="0"/>
                <w:sz w:val="16"/>
              </w:rPr>
              <w:t>Pilot module usage, sample app repo patterns, publication checklist, and module adoption metrics.</w:t>
            </w:r>
          </w:p>
        </w:tc>
        <w:tc>
          <w:tcPr>
            <w:tcW w:type="dxa" w:w="3240"/>
            <w:vAlign w:val="top"/>
          </w:tcPr>
          <w:p>
            <w:pPr>
              <w:spacing w:after="0"/>
            </w:pPr>
            <w:r/>
            <w:r>
              <w:rPr>
                <w:b w:val="0"/>
                <w:sz w:val="16"/>
              </w:rPr>
              <w:t>Permanent module operations, every future module release, or application-specific IaC decisions.</w:t>
            </w:r>
          </w:p>
        </w:tc>
      </w:tr>
      <w:tr>
        <w:tc>
          <w:tcPr>
            <w:tcW w:type="dxa" w:w="1728"/>
            <w:vAlign w:val="top"/>
          </w:tcPr>
          <w:p>
            <w:pPr>
              <w:spacing w:after="0"/>
            </w:pPr>
            <w:r/>
            <w:r>
              <w:rPr>
                <w:b w:val="0"/>
                <w:sz w:val="16"/>
              </w:rPr>
              <w:t>Process Quality</w:t>
            </w:r>
          </w:p>
        </w:tc>
        <w:tc>
          <w:tcPr>
            <w:tcW w:type="dxa" w:w="3240"/>
            <w:vAlign w:val="top"/>
          </w:tcPr>
          <w:p>
            <w:pPr>
              <w:spacing w:after="0"/>
            </w:pPr>
            <w:r/>
            <w:r>
              <w:rPr>
                <w:b w:val="0"/>
                <w:sz w:val="16"/>
              </w:rPr>
              <w:t>Promotion gate requirements, PR evidence standard, ADO validation pipeline pattern, branch strategy recommendation, policy/scan control baseline, and existing-repo retrofit approach.</w:t>
            </w:r>
          </w:p>
        </w:tc>
        <w:tc>
          <w:tcPr>
            <w:tcW w:type="dxa" w:w="3240"/>
            <w:vAlign w:val="top"/>
          </w:tcPr>
          <w:p>
            <w:pPr>
              <w:spacing w:after="0"/>
            </w:pPr>
            <w:r/>
            <w:r>
              <w:rPr>
                <w:b w:val="0"/>
                <w:sz w:val="16"/>
              </w:rPr>
              <w:t>ADO implementation rollout, branch policy configuration, scan threshold alignment, scorecard design, and backlog prioritization.</w:t>
            </w:r>
          </w:p>
        </w:tc>
        <w:tc>
          <w:tcPr>
            <w:tcW w:type="dxa" w:w="3240"/>
            <w:vAlign w:val="top"/>
          </w:tcPr>
          <w:p>
            <w:pPr>
              <w:spacing w:after="0"/>
            </w:pPr>
            <w:r/>
            <w:r>
              <w:rPr>
                <w:b w:val="0"/>
                <w:sz w:val="16"/>
              </w:rPr>
              <w:t>Permanent pipeline operations, release management for all teams, security exception approval, or production change approval ownership.</w:t>
            </w:r>
          </w:p>
        </w:tc>
      </w:tr>
      <w:tr>
        <w:tc>
          <w:tcPr>
            <w:tcW w:type="dxa" w:w="1728"/>
            <w:vAlign w:val="top"/>
          </w:tcPr>
          <w:p>
            <w:pPr>
              <w:spacing w:after="0"/>
            </w:pPr>
            <w:r/>
            <w:r>
              <w:rPr>
                <w:b w:val="0"/>
                <w:sz w:val="16"/>
              </w:rPr>
              <w:t>Developer Involvement</w:t>
            </w:r>
          </w:p>
        </w:tc>
        <w:tc>
          <w:tcPr>
            <w:tcW w:type="dxa" w:w="3240"/>
            <w:vAlign w:val="top"/>
          </w:tcPr>
          <w:p>
            <w:pPr>
              <w:spacing w:after="0"/>
            </w:pPr>
            <w:r/>
            <w:r>
              <w:rPr>
                <w:b w:val="0"/>
                <w:sz w:val="16"/>
              </w:rPr>
              <w:t>Developer-facing IaC requirements, sample expectations, self-service input requirements, and feedback-loop recommendations.</w:t>
            </w:r>
          </w:p>
        </w:tc>
        <w:tc>
          <w:tcPr>
            <w:tcW w:type="dxa" w:w="3240"/>
            <w:vAlign w:val="top"/>
          </w:tcPr>
          <w:p>
            <w:pPr>
              <w:spacing w:after="0"/>
            </w:pPr>
            <w:r/>
            <w:r>
              <w:rPr>
                <w:b w:val="0"/>
                <w:sz w:val="16"/>
              </w:rPr>
              <w:t>Onboarding content, working sessions, pilot rollout, and support intake categories.</w:t>
            </w:r>
          </w:p>
        </w:tc>
        <w:tc>
          <w:tcPr>
            <w:tcW w:type="dxa" w:w="3240"/>
            <w:vAlign w:val="top"/>
          </w:tcPr>
          <w:p>
            <w:pPr>
              <w:spacing w:after="0"/>
            </w:pPr>
            <w:r/>
            <w:r>
              <w:rPr>
                <w:b w:val="0"/>
                <w:sz w:val="16"/>
              </w:rPr>
              <w:t>Long-term Engineering Enablement operations, training ownership, developer portal operations, or application team support queue ownership.</w:t>
            </w:r>
          </w:p>
        </w:tc>
      </w:tr>
    </w:tbl>
    <w:p/>
    <w:p>
      <w:pPr>
        <w:pStyle w:val="Heading1"/>
      </w:pPr>
      <w:r>
        <w:t>5. Recommended Follow-Up Statement</w:t>
      </w:r>
    </w:p>
    <w:p>
      <w:r>
        <w:t>We recommend that our team own the WAF Automation recommendations and initial implementation patterns for the IaC roadmap areas where the review identified direct gaps: module lifecycle and versioning, validation workflow, policy/scan controls, promotion gates, existing-repo retrofit, and developer-facing sample or self-service requirements.</w:t>
      </w:r>
    </w:p>
    <w:p>
      <w:r>
        <w:t>Branching strategy, PR templates, ADO validation pipelines, Checkmarx/Orca scans, and retrofit automation are practical mechanisms we can use, but they should be tied back to the broader IaC roadmap items rather than presented as standalone commitments. The durable target remains a governed IaC model where modules are versioned, environments are isolated, validation is automated, promotion evidence is clear, and teams can consume approved patterns without custom stitching.</w:t>
      </w:r>
    </w:p>
    <w:p>
      <w:pPr>
        <w:pStyle w:val="Heading1"/>
      </w:pPr>
      <w:r>
        <w:t>6. Immediate Next Actions</w:t>
      </w:r>
    </w:p>
    <w:p>
      <w:pPr>
        <w:pStyle w:val="ListBullet"/>
      </w:pPr>
      <w:r>
        <w:t>Confirm the focused ownership map against the WAF Automation recommendations and the relevant Confluence roadmap items.</w:t>
      </w:r>
    </w:p>
    <w:p>
      <w:pPr>
        <w:pStyle w:val="ListBullet"/>
      </w:pPr>
      <w:r>
        <w:t>Finalize the IaC PR template as the developer-facing evidence checklist for infrastructure changes.</w:t>
      </w:r>
    </w:p>
    <w:p>
      <w:pPr>
        <w:pStyle w:val="ListBullet"/>
      </w:pPr>
      <w:r>
        <w:t>Define the ADO validation pipeline baseline for Terraform checks, Checkmarx, Orca, plan generation, artifacts, and PR feedback.</w:t>
      </w:r>
    </w:p>
    <w:p>
      <w:pPr>
        <w:pStyle w:val="ListBullet"/>
      </w:pPr>
      <w:r>
        <w:t>Document branching as an interim environment-isolation control for shared local module paths, with versioned module consumption as the durable target.</w:t>
      </w:r>
    </w:p>
    <w:p>
      <w:pPr>
        <w:pStyle w:val="ListBullet"/>
      </w:pPr>
      <w:r>
        <w:t>Create the existing-repo retrofit backlog item for PR templates, validation pipeline, linting, Orca, Checkmarx, and required branch/PR checks.</w:t>
      </w:r>
    </w:p>
    <w:p>
      <w:pPr>
        <w:pStyle w:val="ListBullet"/>
      </w:pPr>
      <w:r>
        <w:t>Identify one or two pilot repositories to validate the workflow, PR template, scans, and promotion gates before broader rollout.</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