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F4E79"/>
          <w:sz w:val="56"/>
        </w:rPr>
        <w:t>Azure Enterprise Terraform</w:t>
      </w:r>
    </w:p>
    <w:p>
      <w:pPr>
        <w:jc w:val="center"/>
      </w:pPr>
      <w:r>
        <w:rPr>
          <w:b/>
          <w:color w:val="1F4E79"/>
          <w:sz w:val="44"/>
        </w:rPr>
        <w:t>Module Architecture &amp; Enterprise Reusability</w:t>
      </w:r>
    </w:p>
    <w:p/>
    <w:p>
      <w:pPr>
        <w:jc w:val="center"/>
      </w:pPr>
      <w:r>
        <w:rPr>
          <w:i/>
          <w:color w:val="595959"/>
          <w:sz w:val="24"/>
        </w:rPr>
        <w:t>Technical Review | April 2026 | HCP Terraform &amp; Azure Platform</w:t>
      </w:r>
    </w:p>
    <w:p>
      <w:r>
        <w:br w:type="page"/>
      </w:r>
    </w:p>
    <w:p>
      <w:pPr>
        <w:spacing w:before="280" w:after="80"/>
        <w:pBdr>
          <w:bottom w:val="single" w:sz="6" w:space="1" w:color="1F4E79"/>
        </w:pBdr>
      </w:pPr>
      <w:r>
        <w:rPr>
          <w:b/>
          <w:color w:val="1F4E79"/>
          <w:sz w:val="32"/>
        </w:rPr>
        <w:t>Executive Summary</w:t>
      </w:r>
    </w:p>
    <w:p>
      <w:pPr>
        <w:spacing w:after="80"/>
      </w:pPr>
      <w:r>
        <w:rPr>
          <w:b w:val="0"/>
          <w:sz w:val="21"/>
        </w:rPr>
        <w:t>The Azure Enterprise Terraform codebase is solid in enterprise security defaults and hub-and-spoke networking design, but requires structural optimization to achieve reliable reusability across teams. Current state:</w:t>
      </w:r>
    </w:p>
    <w:p>
      <w:pPr>
        <w:pStyle w:val="ListBullet"/>
        <w:spacing w:after="40"/>
      </w:pPr>
      <w:r>
        <w:rPr>
          <w:sz w:val="21"/>
        </w:rPr>
        <w:t xml:space="preserve">Module library location: monorepo pattern with 30+ modules — </w:t>
      </w:r>
      <w:r>
        <w:rPr>
          <w:b/>
          <w:color w:val="375A10"/>
          <w:sz w:val="21"/>
        </w:rPr>
        <w:t>GOOD</w:t>
      </w:r>
    </w:p>
    <w:p>
      <w:pPr>
        <w:pStyle w:val="ListBullet"/>
        <w:spacing w:after="40"/>
      </w:pPr>
      <w:r>
        <w:rPr>
          <w:sz w:val="21"/>
        </w:rPr>
        <w:t xml:space="preserve">Secure-by-default variable patterns (KV purge protection, storage TLS, public access disabled) — </w:t>
      </w:r>
      <w:r>
        <w:rPr>
          <w:b/>
          <w:color w:val="375A10"/>
          <w:sz w:val="21"/>
        </w:rPr>
        <w:t>GOOD</w:t>
      </w:r>
    </w:p>
    <w:p>
      <w:pPr>
        <w:pStyle w:val="ListBullet"/>
        <w:spacing w:after="40"/>
      </w:pPr>
      <w:r>
        <w:rPr>
          <w:sz w:val="21"/>
        </w:rPr>
        <w:t xml:space="preserve">Hub-and-spoke networking with Firewall, Bastion, NAT Gateway as optional toggles — </w:t>
      </w:r>
      <w:r>
        <w:rPr>
          <w:b/>
          <w:color w:val="375A10"/>
          <w:sz w:val="21"/>
        </w:rPr>
        <w:t>GOOD</w:t>
      </w:r>
    </w:p>
    <w:p>
      <w:pPr>
        <w:pStyle w:val="ListBullet"/>
        <w:spacing w:after="40"/>
      </w:pPr>
      <w:r>
        <w:rPr>
          <w:sz w:val="21"/>
        </w:rPr>
        <w:t xml:space="preserve">Platform tags module with enterprise tagging strategy — </w:t>
      </w:r>
      <w:r>
        <w:rPr>
          <w:b/>
          <w:color w:val="375A10"/>
          <w:sz w:val="21"/>
        </w:rPr>
        <w:t>GOOD</w:t>
      </w:r>
    </w:p>
    <w:p>
      <w:pPr>
        <w:pStyle w:val="ListBullet"/>
        <w:spacing w:after="40"/>
      </w:pPr>
      <w:r>
        <w:rPr>
          <w:sz w:val="21"/>
        </w:rPr>
        <w:t xml:space="preserve">HCP workspace pattern: per-resource workspaces (event-grid, storage, function-app repos) — </w:t>
      </w:r>
      <w:r>
        <w:rPr>
          <w:b/>
          <w:color w:val="BF5000"/>
          <w:sz w:val="21"/>
        </w:rPr>
        <w:t>NEEDS WORK</w:t>
      </w:r>
    </w:p>
    <w:p>
      <w:pPr>
        <w:pStyle w:val="ListBullet"/>
        <w:spacing w:after="40"/>
      </w:pPr>
      <w:r>
        <w:rPr>
          <w:sz w:val="21"/>
        </w:rPr>
        <w:t xml:space="preserve">Module completeness varies significantly by module — </w:t>
      </w:r>
      <w:r>
        <w:rPr>
          <w:b/>
          <w:color w:val="BF5000"/>
          <w:sz w:val="21"/>
        </w:rPr>
        <w:t>NEEDS WORK</w:t>
      </w:r>
    </w:p>
    <w:p>
      <w:pPr>
        <w:pStyle w:val="ListBullet"/>
        <w:spacing w:after="40"/>
      </w:pPr>
      <w:r>
        <w:rPr>
          <w:sz w:val="21"/>
        </w:rPr>
        <w:t xml:space="preserve">function_app module: Linux and Python only — Windows and multi-runtime teams blocked — </w:t>
      </w:r>
      <w:r>
        <w:rPr>
          <w:b/>
          <w:color w:val="C00000"/>
          <w:sz w:val="21"/>
        </w:rPr>
        <w:t>SECURITY / BLOCKER</w:t>
      </w:r>
    </w:p>
    <w:p>
      <w:pPr>
        <w:pStyle w:val="ListBullet"/>
        <w:spacing w:after="40"/>
      </w:pPr>
      <w:r>
        <w:rPr>
          <w:sz w:val="21"/>
        </w:rPr>
        <w:t xml:space="preserve">Hardcoded defaults include env-specific subscription IDs and storage account names — </w:t>
      </w:r>
      <w:r>
        <w:rPr>
          <w:b/>
          <w:color w:val="C00000"/>
          <w:sz w:val="21"/>
        </w:rPr>
        <w:t>SECURITY ISSUE</w:t>
      </w:r>
    </w:p>
    <w:p>
      <w:pPr>
        <w:pStyle w:val="ListBullet"/>
        <w:spacing w:after="40"/>
      </w:pPr>
      <w:r>
        <w:rPr>
          <w:sz w:val="21"/>
        </w:rPr>
        <w:t xml:space="preserve">CI/CD pre-merge validation (fmt, validate, checkov) not visible in HCP workspace runs — </w:t>
      </w:r>
      <w:r>
        <w:rPr>
          <w:b/>
          <w:color w:val="BF5000"/>
          <w:sz w:val="21"/>
        </w:rPr>
        <w:t>NEEDS GATES</w:t>
      </w:r>
    </w:p>
    <w:p>
      <w:pPr>
        <w:pStyle w:val="ListBullet"/>
        <w:spacing w:after="40"/>
      </w:pPr>
      <w:r>
        <w:rPr>
          <w:sz w:val="21"/>
        </w:rPr>
        <w:t xml:space="preserve">naming module uses random_string with no keepers — causes destructive drift on state loss — </w:t>
      </w:r>
      <w:r>
        <w:rPr>
          <w:b/>
          <w:color w:val="C00000"/>
          <w:sz w:val="21"/>
        </w:rPr>
        <w:t>CRITICAL ISSUE</w:t>
      </w:r>
    </w:p>
    <w:p>
      <w:pPr>
        <w:pStyle w:val="ListBullet"/>
        <w:spacing w:after="40"/>
      </w:pPr>
      <w:r>
        <w:rPr>
          <w:sz w:val="21"/>
        </w:rPr>
        <w:t xml:space="preserve">Missing modules for event grid, availability sets, defender, and service plan — </w:t>
      </w:r>
      <w:r>
        <w:rPr>
          <w:b/>
          <w:color w:val="BF5000"/>
          <w:sz w:val="21"/>
        </w:rPr>
        <w:t>GAPS</w:t>
      </w:r>
    </w:p>
    <w:p>
      <w:pPr>
        <w:pStyle w:val="ListBullet"/>
        <w:spacing w:after="40"/>
      </w:pPr>
      <w:r>
        <w:rPr>
          <w:sz w:val="21"/>
        </w:rPr>
        <w:t xml:space="preserve">README.md present but variable documentation and usage examples sparse — </w:t>
      </w:r>
      <w:r>
        <w:rPr>
          <w:b/>
          <w:color w:val="BF5000"/>
          <w:sz w:val="21"/>
        </w:rPr>
        <w:t>NEEDS IMPROVEMENT</w:t>
      </w:r>
    </w:p>
    <w:p/>
    <w:p>
      <w:pPr>
        <w:spacing w:before="280" w:after="80"/>
        <w:pBdr>
          <w:bottom w:val="single" w:sz="6" w:space="1" w:color="1F4E79"/>
        </w:pBdr>
      </w:pPr>
      <w:r>
        <w:rPr>
          <w:b/>
          <w:color w:val="1F4E79"/>
          <w:sz w:val="32"/>
        </w:rPr>
        <w:t>Module Inventory &amp; Completeness Analysis</w:t>
      </w:r>
    </w:p>
    <w:p>
      <w:pPr>
        <w:spacing w:after="80"/>
      </w:pPr>
      <w:r>
        <w:rPr>
          <w:b w:val="0"/>
          <w:sz w:val="21"/>
        </w:rPr>
        <w:t>From code review: 30+ modules identified across the azure-enterprise-terraform module library. Assessment: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1584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Key Observation</w:t>
            </w:r>
          </w:p>
        </w:tc>
        <w:tc>
          <w:tcPr>
            <w:tcW w:type="dxa" w:w="3024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Action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network</w:t>
            </w:r>
          </w:p>
        </w:tc>
        <w:tc>
          <w:tcPr>
            <w:tcW w:type="dxa" w:w="2340"/>
            <w:shd w:val="clear" w:color="auto" w:fill="375A10"/>
          </w:tcPr>
          <w:p>
            <w:r/>
            <w:r>
              <w:rPr>
                <w:b/>
                <w:color w:val="FFFFFF"/>
                <w:sz w:val="21"/>
              </w:rPr>
              <w:t>EXCELLENT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Dynamic subnet loop, NSG rules inline, route table / NAT / delegation associations. Clean typed variable schema.</w:t>
            </w:r>
          </w:p>
        </w:tc>
        <w:tc>
          <w:tcPr>
            <w:tcW w:type="dxa" w:w="2340"/>
            <w:shd w:val="clear" w:color="auto" w:fill="E2EFDA"/>
          </w:tcPr>
          <w:p>
            <w:r/>
            <w:r>
              <w:rPr>
                <w:b/>
                <w:color w:val="375A10"/>
                <w:sz w:val="21"/>
              </w:rPr>
              <w:t>Publish to HCP registry v1.0.0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vnet-hub</w:t>
            </w:r>
          </w:p>
        </w:tc>
        <w:tc>
          <w:tcPr>
            <w:tcW w:type="dxa" w:w="2340"/>
            <w:shd w:val="clear" w:color="auto" w:fill="375A10"/>
          </w:tcPr>
          <w:p>
            <w:r/>
            <w:r>
              <w:rPr>
                <w:b/>
                <w:color w:val="FFFFFF"/>
                <w:sz w:val="21"/>
              </w:rPr>
              <w:t>EXCELLENT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Aggregator module: wraps Firewall, Bastion, NAT Gateway, Private DNS. All optional via enable_* flags. Resource group lock applied.</w:t>
            </w:r>
          </w:p>
        </w:tc>
        <w:tc>
          <w:tcPr>
            <w:tcW w:type="dxa" w:w="2340"/>
            <w:shd w:val="clear" w:color="auto" w:fill="E2EFDA"/>
          </w:tcPr>
          <w:p>
            <w:r/>
            <w:r>
              <w:rPr>
                <w:b/>
                <w:color w:val="375A10"/>
                <w:sz w:val="21"/>
              </w:rPr>
              <w:t>Publish to HCP registry v1.0.0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aks</w:t>
            </w:r>
          </w:p>
        </w:tc>
        <w:tc>
          <w:tcPr>
            <w:tcW w:type="dxa" w:w="2340"/>
            <w:shd w:val="clear" w:color="auto" w:fill="375A10"/>
          </w:tcPr>
          <w:p>
            <w:r/>
            <w:r>
              <w:rPr>
                <w:b/>
                <w:color w:val="FFFFFF"/>
                <w:sz w:val="21"/>
              </w:rPr>
              <w:t>EXCELLENT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Secure defaults: RBAC, OIDC, workload identity, image cleaner. Lifecycle preconditions enforce enterprise baseline. CMK disk encryption exposed.</w:t>
            </w:r>
          </w:p>
        </w:tc>
        <w:tc>
          <w:tcPr>
            <w:tcW w:type="dxa" w:w="2340"/>
            <w:shd w:val="clear" w:color="auto" w:fill="E2EFDA"/>
          </w:tcPr>
          <w:p>
            <w:r/>
            <w:r>
              <w:rPr>
                <w:b/>
                <w:color w:val="375A10"/>
                <w:sz w:val="21"/>
              </w:rPr>
              <w:t>Publish to HCP registry v1.0.0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keyvault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RBAC-first, purge protection, soft-delete 90 days, public access off by default, network_acls deny-by-default. Checkov skip documented.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Add diagnostic block, prevent_destroy flag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storage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Infrastructure encryption, versioning, change feed, queue logging enabled by default. azapi for containers. Validation regex on name.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Fix shared_key default to false. Add CMK block.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service-bus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CMK + user-assigned identity, queue/topic dynamic blocks. Premium tier optional.</w:t>
            </w:r>
          </w:p>
        </w:tc>
        <w:tc>
          <w:tcPr>
            <w:tcW w:type="dxa" w:w="2340"/>
            <w:shd w:val="clear" w:color="auto" w:fill="E2EFDA"/>
          </w:tcPr>
          <w:p>
            <w:r/>
            <w:r>
              <w:rPr>
                <w:b/>
                <w:color w:val="375A10"/>
                <w:sz w:val="21"/>
              </w:rPr>
              <w:t>Publish to HCP registry v1.0.0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apim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Handles standalone, API spec import, and function-app backend patterns. Named value secret. VNet integration supported.</w:t>
            </w:r>
          </w:p>
        </w:tc>
        <w:tc>
          <w:tcPr>
            <w:tcW w:type="dxa" w:w="2340"/>
            <w:shd w:val="clear" w:color="auto" w:fill="FFE0E0"/>
          </w:tcPr>
          <w:p>
            <w:r/>
            <w:r>
              <w:rPr>
                <w:b/>
                <w:color w:val="C00000"/>
                <w:sz w:val="21"/>
              </w:rPr>
              <w:t>Replace file() with content variable for HCP remote execution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sql-database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AAD-only auth default. Dual auditing (Log Analytics preferred). Zone redundant + ledger enabled by default. Checkov skip documented.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Change databases to typed map(object({...})). Add TDE CMK block.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platform-tags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Required vs optional tags cleanly separated. additional_tags merge. Finserv compliance_boundary and data_classification defaults.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Move output to outputs.tf. Add environment validation.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cosmosdb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Local auth disabled, access key writes off, TLS 1.2, Continuous backup default. CMK + identity supported.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is_virtual_network_filter default should be true when public_network_access=false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application-gateway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WAF integration, SSL policy, backend pools, routing rules, dynamic blocks.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Add autoscaling variable. Add zones support.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role-assignments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ABAC conditions on User Access Admin. Flexible map pattern.</w:t>
            </w:r>
          </w:p>
        </w:tc>
        <w:tc>
          <w:tcPr>
            <w:tcW w:type="dxa" w:w="2340"/>
            <w:shd w:val="clear" w:color="auto" w:fill="E2EFDA"/>
          </w:tcPr>
          <w:p>
            <w:r/>
            <w:r>
              <w:rPr>
                <w:b/>
                <w:color w:val="375A10"/>
                <w:sz w:val="21"/>
              </w:rPr>
              <w:t>Publish to HCP registry v1.0.0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vnet-spoke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Opinionated defaults: app, integration, data, private-endpoints subnets. Clean wrapper around network module.</w:t>
            </w:r>
          </w:p>
        </w:tc>
        <w:tc>
          <w:tcPr>
            <w:tcW w:type="dxa" w:w="2340"/>
            <w:shd w:val="clear" w:color="auto" w:fill="FFE0E0"/>
          </w:tcPr>
          <w:p>
            <w:r/>
            <w:r>
              <w:rPr>
                <w:b/>
                <w:color w:val="C00000"/>
                <w:sz w:val="21"/>
              </w:rPr>
              <w:t>Remove overlapping default CIDRs (10.10.x.x). Add hub_firewall UDR.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private-dns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Zone + VNet link pattern. Works cleanly for hub DNS centralization.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Add outputs.tf with zone IDs map. Add A-record support.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management_groups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Full ALZ hierarchy: Platform, Landing Zones, Prod/Nonprod/Sandbox. Subscription association via for_each.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Add additional_management_groups variable. Validate subscriptions_by_group keys.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app-configuration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CMK encryption + user-assigned identity. Purge protection. Soft-delete.</w:t>
            </w:r>
          </w:p>
        </w:tc>
        <w:tc>
          <w:tcPr>
            <w:tcW w:type="dxa" w:w="2340"/>
            <w:shd w:val="clear" w:color="auto" w:fill="E2EFDA"/>
          </w:tcPr>
          <w:p>
            <w:r/>
            <w:r>
              <w:rPr>
                <w:b/>
                <w:color w:val="375A10"/>
                <w:sz w:val="21"/>
              </w:rPr>
              <w:t>Add replica block. Publish to HCP registry v1.0.0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postgresql-flexible-server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HA configurable, AAD auth, backup retention exposed.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Add maintenance_window, zone variable, CMK block.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redis-cache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SSL/TLS, memory management. SKU configurable.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Add minimum_tls_version variable. Add patch_schedule block.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log-analytics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Workspace + optional App Insights. Workspace-mode Insights (not classic).</w:t>
            </w:r>
          </w:p>
        </w:tc>
        <w:tc>
          <w:tcPr>
            <w:tcW w:type="dxa" w:w="2340"/>
            <w:shd w:val="clear" w:color="auto" w:fill="FFE0E0"/>
          </w:tcPr>
          <w:p>
            <w:r/>
            <w:r>
              <w:rPr>
                <w:b/>
                <w:color w:val="C00000"/>
                <w:sz w:val="21"/>
              </w:rPr>
              <w:t>MERGE with observability module — two modules do the same thing causing drift.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observability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Workspace + App Insights + instrumentation key output.</w:t>
            </w:r>
          </w:p>
        </w:tc>
        <w:tc>
          <w:tcPr>
            <w:tcW w:type="dxa" w:w="2340"/>
            <w:shd w:val="clear" w:color="auto" w:fill="FFE0E0"/>
          </w:tcPr>
          <w:p>
            <w:r/>
            <w:r>
              <w:rPr>
                <w:b/>
                <w:color w:val="C00000"/>
                <w:sz w:val="21"/>
              </w:rPr>
              <w:t>MERGE into single observability module. Standardize retention to 90 days.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monitoring-baseline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Activity log diagnostic setting. Clean baseline.</w:t>
            </w:r>
          </w:p>
        </w:tc>
        <w:tc>
          <w:tcPr>
            <w:tcW w:type="dxa" w:w="2340"/>
            <w:shd w:val="clear" w:color="auto" w:fill="E2EFDA"/>
          </w:tcPr>
          <w:p>
            <w:r/>
            <w:r>
              <w:rPr>
                <w:b/>
                <w:color w:val="375A10"/>
                <w:sz w:val="21"/>
              </w:rPr>
              <w:t>Add categories variable. Publish to HCP registry v1.0.0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bastion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All SKU options, feature flags (copy, file, tunneling). Clean.</w:t>
            </w:r>
          </w:p>
        </w:tc>
        <w:tc>
          <w:tcPr>
            <w:tcW w:type="dxa" w:w="2340"/>
            <w:shd w:val="clear" w:color="auto" w:fill="E2EFDA"/>
          </w:tcPr>
          <w:p>
            <w:r/>
            <w:r>
              <w:rPr>
                <w:b/>
                <w:color w:val="375A10"/>
                <w:sz w:val="21"/>
              </w:rPr>
              <w:t>Publish to HCP registry v1.0.0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nat-gateway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Public IP optional, subnet association, zones exposed.</w:t>
            </w:r>
          </w:p>
        </w:tc>
        <w:tc>
          <w:tcPr>
            <w:tcW w:type="dxa" w:w="2340"/>
            <w:shd w:val="clear" w:color="auto" w:fill="E2EFDA"/>
          </w:tcPr>
          <w:p>
            <w:r/>
            <w:r>
              <w:rPr>
                <w:b/>
                <w:color w:val="375A10"/>
                <w:sz w:val="21"/>
              </w:rPr>
              <w:t>Publish to HCP registry v1.0.0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container_registry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Geo-replication, retention, trust policy (deprecated flag).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Remove deprecated trust_policy. Add quarantine_policy. Add zone_redundancy.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user-assigned-identity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Clean: ID, client_id, principal_id, tenant_id all output.</w:t>
            </w:r>
          </w:p>
        </w:tc>
        <w:tc>
          <w:tcPr>
            <w:tcW w:type="dxa" w:w="2340"/>
            <w:shd w:val="clear" w:color="auto" w:fill="E2EFDA"/>
          </w:tcPr>
          <w:p>
            <w:r/>
            <w:r>
              <w:rPr>
                <w:b/>
                <w:color w:val="375A10"/>
                <w:sz w:val="21"/>
              </w:rPr>
              <w:t>Publish to HCP registry v1.0.0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state-storage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Full Terraform backend bootstrap: RG, SA, containers. Validation and network rules.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Add lifecycle management lock to storage account.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keyvault-key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CMK abstraction: RSA/EC, configurable ops. versions.tf present.</w:t>
            </w:r>
          </w:p>
        </w:tc>
        <w:tc>
          <w:tcPr>
            <w:tcW w:type="dxa" w:w="2340"/>
            <w:shd w:val="clear" w:color="auto" w:fill="E2EFDA"/>
          </w:tcPr>
          <w:p>
            <w:r/>
            <w:r>
              <w:rPr>
                <w:b/>
                <w:color w:val="375A10"/>
                <w:sz w:val="21"/>
              </w:rPr>
              <w:t>Add rotation_policy block. Publish to HCP registry v1.0.0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policy_assignment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Policy assignment to resource groups.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Add management group and subscription scope options.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action-group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Email receivers via dynamic block.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Add webhook, SMS, and ITSM receiver blocks.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load_balancer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Backend address pool. Public IP association.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Add frontend IP config, LB rules, and health probe variables.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vm_linux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Encryption at host, identity, accelerated networking, os_disk type.</w:t>
            </w:r>
          </w:p>
        </w:tc>
        <w:tc>
          <w:tcPr>
            <w:tcW w:type="dxa" w:w="2340"/>
          </w:tcPr>
          <w:p>
            <w:r/>
            <w:r>
              <w:rPr>
                <w:sz w:val="21"/>
              </w:rPr>
              <w:t>Add AAD login extension. Add OMS agent extension block.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vm_windows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Comprehensive: 40+ variables, identity, encryption, os_disk, image.</w:t>
            </w:r>
          </w:p>
        </w:tc>
        <w:tc>
          <w:tcPr>
            <w:tcW w:type="dxa" w:w="2340"/>
            <w:shd w:val="clear" w:color="auto" w:fill="FFE0E0"/>
          </w:tcPr>
          <w:p>
            <w:r/>
            <w:r>
              <w:rPr>
                <w:b/>
                <w:color w:val="C00000"/>
                <w:sz w:val="21"/>
              </w:rPr>
              <w:t>Parameterize admin credentials — never hardcode in tests or defaults.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private-endpoint</w:t>
            </w:r>
          </w:p>
        </w:tc>
        <w:tc>
          <w:tcPr>
            <w:tcW w:type="dxa" w:w="2340"/>
            <w:shd w:val="clear" w:color="auto" w:fill="7F6000"/>
          </w:tcPr>
          <w:p>
            <w:r/>
            <w:r>
              <w:rPr>
                <w:b/>
                <w:color w:val="FFFFFF"/>
                <w:sz w:val="21"/>
              </w:rPr>
              <w:t>BASIC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Supports DNS zone group. Minimal surface area.</w:t>
            </w:r>
          </w:p>
        </w:tc>
        <w:tc>
          <w:tcPr>
            <w:tcW w:type="dxa" w:w="2340"/>
            <w:shd w:val="clear" w:color="auto" w:fill="FFE0E0"/>
          </w:tcPr>
          <w:p>
            <w:r/>
            <w:r>
              <w:rPr>
                <w:b/>
                <w:color w:val="C00000"/>
                <w:sz w:val="21"/>
              </w:rPr>
              <w:t>Add outputs.tf: id, network_interface_id, private_ip_address.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diagnostics-1</w:t>
            </w:r>
          </w:p>
        </w:tc>
        <w:tc>
          <w:tcPr>
            <w:tcW w:type="dxa" w:w="2340"/>
            <w:shd w:val="clear" w:color="auto" w:fill="7F6000"/>
          </w:tcPr>
          <w:p>
            <w:r/>
            <w:r>
              <w:rPr>
                <w:b/>
                <w:color w:val="FFFFFF"/>
                <w:sz w:val="21"/>
              </w:rPr>
              <w:t>BASIC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Generic diagnostic setting. enabled_logs and enabled_metrics as list.</w:t>
            </w:r>
          </w:p>
        </w:tc>
        <w:tc>
          <w:tcPr>
            <w:tcW w:type="dxa" w:w="2340"/>
            <w:shd w:val="clear" w:color="auto" w:fill="FFE0E0"/>
          </w:tcPr>
          <w:p>
            <w:r/>
            <w:r>
              <w:rPr>
                <w:b/>
                <w:color w:val="C00000"/>
                <w:sz w:val="21"/>
              </w:rPr>
              <w:t>Add outputs.tf. Rename to 'diagnostics'. Add Event Hub destination.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vnet-peering</w:t>
            </w:r>
          </w:p>
        </w:tc>
        <w:tc>
          <w:tcPr>
            <w:tcW w:type="dxa" w:w="2340"/>
            <w:shd w:val="clear" w:color="auto" w:fill="548235"/>
          </w:tcPr>
          <w:p>
            <w:r/>
            <w:r>
              <w:rPr>
                <w:b/>
                <w:color w:val="FFFFFF"/>
                <w:sz w:val="21"/>
              </w:rPr>
              <w:t>GOOD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Bidirectional peering with provider alias pattern.</w:t>
            </w:r>
          </w:p>
        </w:tc>
        <w:tc>
          <w:tcPr>
            <w:tcW w:type="dxa" w:w="2340"/>
            <w:shd w:val="clear" w:color="auto" w:fill="E2EFDA"/>
          </w:tcPr>
          <w:p>
            <w:r/>
            <w:r>
              <w:rPr>
                <w:b/>
                <w:color w:val="375A10"/>
                <w:sz w:val="21"/>
              </w:rPr>
              <w:t>Publish to HCP registry v1.0.0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naming</w:t>
            </w:r>
          </w:p>
        </w:tc>
        <w:tc>
          <w:tcPr>
            <w:tcW w:type="dxa" w:w="2340"/>
            <w:shd w:val="clear" w:color="auto" w:fill="C00000"/>
          </w:tcPr>
          <w:p>
            <w:r/>
            <w:r>
              <w:rPr>
                <w:b/>
                <w:color w:val="FFFFFF"/>
                <w:sz w:val="21"/>
              </w:rPr>
              <w:t>INCOMPLETE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Random suffix. Only 6 resource types covered (rg, vnet, law, kv, sa). No keepers.</w:t>
            </w:r>
          </w:p>
        </w:tc>
        <w:tc>
          <w:tcPr>
            <w:tcW w:type="dxa" w:w="2340"/>
            <w:shd w:val="clear" w:color="auto" w:fill="FFE0E0"/>
          </w:tcPr>
          <w:p>
            <w:r/>
            <w:r>
              <w:rPr>
                <w:b/>
                <w:color w:val="C00000"/>
                <w:sz w:val="21"/>
              </w:rPr>
              <w:t>REWRITE: Add keepers, expand to 20+ resource types, move outputs to outputs.tf.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function_app</w:t>
            </w:r>
          </w:p>
        </w:tc>
        <w:tc>
          <w:tcPr>
            <w:tcW w:type="dxa" w:w="2340"/>
            <w:shd w:val="clear" w:color="auto" w:fill="C00000"/>
          </w:tcPr>
          <w:p>
            <w:r/>
            <w:r>
              <w:rPr>
                <w:b/>
                <w:color w:val="FFFFFF"/>
                <w:sz w:val="21"/>
              </w:rPr>
              <w:t>INCOMPLETE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Linux + Python only. Bundled Service Plan. No Windows, no Node/dotnet/java.</w:t>
            </w:r>
          </w:p>
        </w:tc>
        <w:tc>
          <w:tcPr>
            <w:tcW w:type="dxa" w:w="2340"/>
            <w:shd w:val="clear" w:color="auto" w:fill="FFE0E0"/>
          </w:tcPr>
          <w:p>
            <w:r/>
            <w:r>
              <w:rPr>
                <w:b/>
                <w:color w:val="C00000"/>
                <w:sz w:val="21"/>
              </w:rPr>
              <w:t>REWRITE: Multi-OS, multi-runtime. Decouple Service Plan. Add deployment slots.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1F4E79"/>
        </w:pBdr>
      </w:pPr>
      <w:r>
        <w:rPr>
          <w:b/>
          <w:color w:val="1F4E79"/>
          <w:sz w:val="32"/>
        </w:rPr>
        <w:t>Critical Findings &amp; Issues</w:t>
      </w:r>
    </w:p>
    <w:p>
      <w:pPr>
        <w:spacing w:before="160" w:after="40"/>
      </w:pPr>
      <w:r>
        <w:rPr>
          <w:b/>
          <w:color w:val="C00000"/>
          <w:sz w:val="24"/>
        </w:rPr>
        <w:t>Issue 1: Per-Resource HCP Workspaces Causing Drift</w:t>
      </w:r>
    </w:p>
    <w:p>
      <w:pPr>
        <w:spacing w:after="80"/>
      </w:pPr>
      <w:r>
        <w:rPr>
          <w:b w:val="0"/>
          <w:sz w:val="21"/>
        </w:rPr>
        <w:t>HCP Terraform screenshots show individual workspaces per resource type (terraform-azurerm-compeer-event-grid, terraform-azurerm-compeer-storage-account, terraform-azurerm-compeer-windows-function-app, terraform-azurerm-test-availabilitySet-rg). Each workspace:</w:t>
      </w:r>
    </w:p>
    <w:p>
      <w:pPr>
        <w:pStyle w:val="ListBullet"/>
        <w:spacing w:after="40"/>
        <w:ind w:left="360"/>
      </w:pPr>
      <w:r>
        <w:rPr>
          <w:sz w:val="21"/>
        </w:rPr>
        <w:t>Manages isolated state with no awareness of sibling resources</w:t>
      </w:r>
    </w:p>
    <w:p>
      <w:pPr>
        <w:pStyle w:val="ListBullet"/>
        <w:spacing w:after="40"/>
        <w:ind w:left="360"/>
      </w:pPr>
      <w:r>
        <w:rPr>
          <w:sz w:val="21"/>
        </w:rPr>
        <w:t>Does not consume the shared module library — duplicates or uses ad-hoc inline config</w:t>
      </w:r>
    </w:p>
    <w:p>
      <w:pPr>
        <w:pStyle w:val="ListBullet"/>
        <w:spacing w:after="40"/>
        <w:ind w:left="360"/>
      </w:pPr>
      <w:r>
        <w:rPr>
          <w:sz w:val="21"/>
        </w:rPr>
        <w:t>Has no enforced dependency ordering (VNet must exist before peering workspace runs)</w:t>
      </w:r>
    </w:p>
    <w:p>
      <w:pPr>
        <w:pStyle w:val="ListBullet"/>
        <w:spacing w:after="40"/>
        <w:ind w:left="360"/>
      </w:pPr>
      <w:r>
        <w:rPr>
          <w:sz w:val="21"/>
        </w:rPr>
        <w:t>Cannot be updated atomically when a cross-cutting policy change is needed</w:t>
      </w:r>
    </w:p>
    <w:p>
      <w:pPr>
        <w:pStyle w:val="ListBullet"/>
        <w:spacing w:after="40"/>
        <w:ind w:left="360"/>
      </w:pPr>
      <w:r>
        <w:rPr>
          <w:sz w:val="21"/>
        </w:rPr>
        <w:t>Allows configuration to diverge from enterprise baseline (TLS, soft-delete, public access)</w:t>
      </w:r>
    </w:p>
    <w:p>
      <w:pPr>
        <w:spacing w:after="120"/>
        <w:ind w:left="432"/>
      </w:pPr>
      <w:r>
        <w:rPr>
          <w:b/>
          <w:color w:val="C00000"/>
          <w:sz w:val="21"/>
        </w:rPr>
        <w:t xml:space="preserve">Solution: </w:t>
      </w:r>
      <w:r>
        <w:rPr>
          <w:b/>
          <w:i/>
          <w:color w:val="C00000"/>
          <w:sz w:val="21"/>
        </w:rPr>
        <w:t>Stop creating per-resource workspaces. Map HCP workspaces to stacks, not resource types. Use the finserv-api stack as the reference pattern — it composes 15+ modules in one workspace.</w:t>
      </w:r>
    </w:p>
    <w:p>
      <w:pPr>
        <w:spacing w:before="160" w:after="40"/>
      </w:pPr>
      <w:r>
        <w:rPr>
          <w:b/>
          <w:color w:val="C00000"/>
          <w:sz w:val="24"/>
        </w:rPr>
        <w:t>Issue 2: naming Module Causes Destructive Drift on State Loss</w:t>
      </w:r>
    </w:p>
    <w:p>
      <w:pPr>
        <w:spacing w:after="80"/>
      </w:pPr>
      <w:r>
        <w:rPr>
          <w:b w:val="0"/>
          <w:sz w:val="21"/>
        </w:rPr>
        <w:t>The naming module uses random_string with NO keepers argument. If the HCP workspace state is ever lost, migrated, or the workspace is recreated:</w:t>
      </w:r>
    </w:p>
    <w:p>
      <w:pPr>
        <w:spacing w:after="80"/>
        <w:ind w:left="432"/>
        <w:shd w:val="clear" w:color="auto" w:fill="F0F0F0"/>
      </w:pPr>
      <w:r>
        <w:rPr>
          <w:rFonts w:ascii="Courier New" w:hAnsi="Courier New"/>
          <w:sz w:val="18"/>
        </w:rPr>
        <w:t>resource "random_string" "suffix" {</w:t>
        <w:br/>
        <w:t xml:space="preserve">  length  = var.suffix_length</w:t>
        <w:br/>
        <w:t xml:space="preserve">  upper   = false</w:t>
        <w:br/>
        <w:t xml:space="preserve">  special = false</w:t>
        <w:br/>
        <w:t xml:space="preserve">  # Missing: keepers = {} — new suffix generated each time state is absent</w:t>
        <w:br/>
        <w:t>}</w:t>
      </w:r>
    </w:p>
    <w:p>
      <w:pPr>
        <w:pStyle w:val="ListBullet"/>
        <w:spacing w:after="40"/>
        <w:ind w:left="360"/>
      </w:pPr>
      <w:r>
        <w:rPr>
          <w:sz w:val="21"/>
        </w:rPr>
        <w:t>A new random suffix is generated — ALL resource names change</w:t>
      </w:r>
    </w:p>
    <w:p>
      <w:pPr>
        <w:pStyle w:val="ListBullet"/>
        <w:spacing w:after="40"/>
        <w:ind w:left="360"/>
      </w:pPr>
      <w:r>
        <w:rPr>
          <w:sz w:val="21"/>
        </w:rPr>
        <w:t>Terraform plans a destroy+create for storage accounts, key vaults, and every named resource</w:t>
      </w:r>
    </w:p>
    <w:p>
      <w:pPr>
        <w:pStyle w:val="ListBullet"/>
        <w:spacing w:after="40"/>
        <w:ind w:left="360"/>
      </w:pPr>
      <w:r>
        <w:rPr>
          <w:sz w:val="21"/>
        </w:rPr>
        <w:t>This is the most common source of unexpected drift in the current setup</w:t>
      </w:r>
    </w:p>
    <w:p>
      <w:pPr>
        <w:pStyle w:val="ListBullet"/>
        <w:spacing w:after="40"/>
        <w:ind w:left="360"/>
      </w:pPr>
      <w:r>
        <w:rPr>
          <w:sz w:val="21"/>
        </w:rPr>
        <w:t>Only 6 resource types covered — AKS, APIM, SQL, ACR, Service Bus, Bastion have no naming helper</w:t>
      </w:r>
    </w:p>
    <w:p>
      <w:pPr>
        <w:spacing w:after="120"/>
        <w:ind w:left="432"/>
      </w:pPr>
      <w:r>
        <w:rPr>
          <w:b/>
          <w:color w:val="C00000"/>
          <w:sz w:val="21"/>
        </w:rPr>
        <w:t xml:space="preserve">Solution: </w:t>
      </w:r>
      <w:r>
        <w:rPr>
          <w:b/>
          <w:i/>
          <w:color w:val="C00000"/>
          <w:sz w:val="21"/>
        </w:rPr>
        <w:t>Add keepers = { prefix = var.prefix, environment = var.environment, service = var.service }. Expand outputs to 20+ resource types. Move outputs to outputs.tf.</w:t>
      </w:r>
    </w:p>
    <w:p>
      <w:pPr>
        <w:spacing w:before="160" w:after="40"/>
      </w:pPr>
      <w:r>
        <w:rPr>
          <w:b/>
          <w:color w:val="C00000"/>
          <w:sz w:val="24"/>
        </w:rPr>
        <w:t>Issue 3: function_app Module — Linux/Python Only, Windows Teams Blocked</w:t>
      </w:r>
    </w:p>
    <w:p>
      <w:pPr>
        <w:spacing w:after="80"/>
      </w:pPr>
      <w:r>
        <w:rPr>
          <w:b w:val="0"/>
          <w:sz w:val="21"/>
        </w:rPr>
        <w:t>The function_app module hardcodes os_type = Linux and creates only azurerm_linux_function_app with only Python in the application_stack block:</w:t>
      </w:r>
    </w:p>
    <w:p>
      <w:pPr>
        <w:spacing w:after="80"/>
        <w:ind w:left="432"/>
        <w:shd w:val="clear" w:color="auto" w:fill="F0F0F0"/>
      </w:pPr>
      <w:r>
        <w:rPr>
          <w:rFonts w:ascii="Courier New" w:hAnsi="Courier New"/>
          <w:sz w:val="18"/>
        </w:rPr>
        <w:t>resource "azurerm_service_plan" "this" {</w:t>
        <w:br/>
        <w:t xml:space="preserve">  os_type  = "Linux"   # hardcoded</w:t>
        <w:br/>
        <w:t xml:space="preserve">  ...</w:t>
        <w:br/>
        <w:t>}</w:t>
        <w:br/>
        <w:t>resource "azurerm_linux_function_app" "this" {   # no Windows equivalent</w:t>
        <w:br/>
        <w:t xml:space="preserve">  site_config {</w:t>
        <w:br/>
        <w:t xml:space="preserve">    application_stack {</w:t>
        <w:br/>
        <w:t xml:space="preserve">      python_version = var.runtime == "python" ? var.runtime_version : null</w:t>
        <w:br/>
        <w:t xml:space="preserve">      # Node.js, .NET, Java, PowerShell: NOT SUPPORTED</w:t>
        <w:br/>
        <w:t xml:space="preserve">    }</w:t>
        <w:br/>
        <w:t xml:space="preserve">  }</w:t>
        <w:br/>
        <w:t>}</w:t>
      </w:r>
    </w:p>
    <w:p>
      <w:pPr>
        <w:pStyle w:val="ListBullet"/>
        <w:spacing w:after="40"/>
        <w:ind w:left="360"/>
      </w:pPr>
      <w:r>
        <w:rPr>
          <w:sz w:val="21"/>
        </w:rPr>
        <w:t>Windows Function App teams (e.g., .NET, PowerShell) are creating separate ad-hoc repos</w:t>
      </w:r>
    </w:p>
    <w:p>
      <w:pPr>
        <w:pStyle w:val="ListBullet"/>
        <w:spacing w:after="40"/>
        <w:ind w:left="360"/>
      </w:pPr>
      <w:r>
        <w:rPr>
          <w:sz w:val="21"/>
        </w:rPr>
        <w:t>The HCP screenshot shows terraform-azurerm-compeer-windows-function-app as a separate workspace</w:t>
      </w:r>
    </w:p>
    <w:p>
      <w:pPr>
        <w:pStyle w:val="ListBullet"/>
        <w:spacing w:after="40"/>
        <w:ind w:left="360"/>
      </w:pPr>
      <w:r>
        <w:rPr>
          <w:sz w:val="21"/>
        </w:rPr>
        <w:t>Service Plan is bundled inside the module — cannot share plans, cannot control cost</w:t>
      </w:r>
    </w:p>
    <w:p>
      <w:pPr>
        <w:pStyle w:val="ListBullet"/>
        <w:spacing w:after="40"/>
        <w:ind w:left="360"/>
      </w:pPr>
      <w:r>
        <w:rPr>
          <w:sz w:val="21"/>
        </w:rPr>
        <w:t>No deployment slot support — zero-downtime deployments require separate inline resources</w:t>
      </w:r>
    </w:p>
    <w:p>
      <w:pPr>
        <w:spacing w:after="120"/>
        <w:ind w:left="432"/>
      </w:pPr>
      <w:r>
        <w:rPr>
          <w:b/>
          <w:color w:val="C00000"/>
          <w:sz w:val="21"/>
        </w:rPr>
        <w:t xml:space="preserve">Solution: </w:t>
      </w:r>
      <w:r>
        <w:rPr>
          <w:b/>
          <w:i/>
          <w:color w:val="C00000"/>
          <w:sz w:val="21"/>
        </w:rPr>
        <w:t>Rewrite with os_type variable. Use conditional resource creation for Linux vs Windows. Support runtimes: python, node, dotnet, java, powershell. Create a separate service_plan module. Add deployment_slot optional block.</w:t>
      </w:r>
    </w:p>
    <w:p>
      <w:pPr>
        <w:spacing w:before="160" w:after="40"/>
      </w:pPr>
      <w:r>
        <w:rPr>
          <w:b/>
          <w:color w:val="C00000"/>
          <w:sz w:val="24"/>
        </w:rPr>
        <w:t>Issue 4: apim Module — file() Breaks HCP Remote Execution</w:t>
      </w:r>
    </w:p>
    <w:p>
      <w:pPr>
        <w:spacing w:after="80"/>
      </w:pPr>
      <w:r>
        <w:rPr>
          <w:b w:val="0"/>
          <w:sz w:val="21"/>
        </w:rPr>
        <w:t>The API spec import uses file() which reads from the local filesystem at plan time:</w:t>
      </w:r>
    </w:p>
    <w:p>
      <w:pPr>
        <w:spacing w:after="80"/>
        <w:ind w:left="432"/>
        <w:shd w:val="clear" w:color="auto" w:fill="F0F0F0"/>
      </w:pPr>
      <w:r>
        <w:rPr>
          <w:rFonts w:ascii="Courier New" w:hAnsi="Courier New"/>
          <w:sz w:val="18"/>
        </w:rPr>
        <w:t>import {</w:t>
        <w:br/>
        <w:t xml:space="preserve">  content_format = "openapi"</w:t>
        <w:br/>
        <w:t xml:space="preserve">  content_value  = file(abspath(var.api_spec_path))  # BREAKS in HCP remote runs</w:t>
        <w:br/>
        <w:t>}</w:t>
      </w:r>
    </w:p>
    <w:p>
      <w:pPr>
        <w:pStyle w:val="ListBullet"/>
        <w:spacing w:after="40"/>
        <w:ind w:left="360"/>
      </w:pPr>
      <w:r>
        <w:rPr>
          <w:sz w:val="21"/>
        </w:rPr>
        <w:t>HCP Terraform remote execution does NOT upload arbitrary local files — only the .tf files</w:t>
      </w:r>
    </w:p>
    <w:p>
      <w:pPr>
        <w:pStyle w:val="ListBullet"/>
        <w:spacing w:after="40"/>
        <w:ind w:left="360"/>
      </w:pPr>
      <w:r>
        <w:rPr>
          <w:sz w:val="21"/>
        </w:rPr>
        <w:t>This causes a file not found error on every remote plan/apply run</w:t>
      </w:r>
    </w:p>
    <w:p>
      <w:pPr>
        <w:pStyle w:val="ListBullet"/>
        <w:spacing w:after="40"/>
        <w:ind w:left="360"/>
      </w:pPr>
      <w:r>
        <w:rPr>
          <w:sz w:val="21"/>
        </w:rPr>
        <w:t>Only openapi supported — WSDL (SOAP), Swagger 2.0, GraphQL cannot use this module</w:t>
      </w:r>
    </w:p>
    <w:p>
      <w:pPr>
        <w:pStyle w:val="ListBullet"/>
        <w:spacing w:after="40"/>
        <w:ind w:left="360"/>
      </w:pPr>
      <w:r>
        <w:rPr>
          <w:sz w:val="21"/>
        </w:rPr>
        <w:t>No custom domain, certificate, or product/subscription management blocks</w:t>
      </w:r>
    </w:p>
    <w:p>
      <w:pPr>
        <w:spacing w:after="120"/>
        <w:ind w:left="432"/>
      </w:pPr>
      <w:r>
        <w:rPr>
          <w:b/>
          <w:color w:val="C00000"/>
          <w:sz w:val="21"/>
        </w:rPr>
        <w:t xml:space="preserve">Solution: </w:t>
      </w:r>
      <w:r>
        <w:rPr>
          <w:b/>
          <w:i/>
          <w:color w:val="C00000"/>
          <w:sz w:val="21"/>
        </w:rPr>
        <w:t>Replace with var.api_spec_content (string). Callers pass file() or templatefile() in their stack. Add api_content_format variable. Add optional custom_domain and products blocks.</w:t>
      </w:r>
    </w:p>
    <w:p>
      <w:pPr>
        <w:spacing w:before="160" w:after="40"/>
      </w:pPr>
      <w:r>
        <w:rPr>
          <w:b/>
          <w:color w:val="BF5000"/>
          <w:sz w:val="24"/>
        </w:rPr>
        <w:t>Issue 5: Optional Variables Strategy Inconsistent</w:t>
      </w:r>
    </w:p>
    <w:p>
      <w:pPr>
        <w:spacing w:after="80"/>
      </w:pPr>
      <w:r>
        <w:rPr>
          <w:b w:val="0"/>
          <w:sz w:val="21"/>
        </w:rPr>
        <w:t>Variable design is inconsistent across modules:</w:t>
      </w:r>
    </w:p>
    <w:p>
      <w:pPr>
        <w:pStyle w:val="ListBullet"/>
        <w:spacing w:after="40"/>
        <w:ind w:left="360"/>
      </w:pPr>
      <w:r>
        <w:rPr>
          <w:sz w:val="21"/>
        </w:rPr>
        <w:t>network module: no description fields on any variable — callers must read main.tf to understand inputs</w:t>
      </w:r>
    </w:p>
    <w:p>
      <w:pPr>
        <w:pStyle w:val="ListBullet"/>
        <w:spacing w:after="40"/>
        <w:ind w:left="360"/>
      </w:pPr>
      <w:r>
        <w:rPr>
          <w:sz w:val="21"/>
        </w:rPr>
        <w:t>sql-database: databases = map(any) — no schema, no IDE completion, no plan-time validation</w:t>
      </w:r>
    </w:p>
    <w:p>
      <w:pPr>
        <w:pStyle w:val="ListBullet"/>
        <w:spacing w:after="40"/>
        <w:ind w:left="360"/>
      </w:pPr>
      <w:r>
        <w:rPr>
          <w:sz w:val="21"/>
        </w:rPr>
        <w:t>storage: shared_access_key_enabled defaults to TRUE — insecure for net-new workloads</w:t>
      </w:r>
    </w:p>
    <w:p>
      <w:pPr>
        <w:pStyle w:val="ListBullet"/>
        <w:spacing w:after="40"/>
        <w:ind w:left="360"/>
      </w:pPr>
      <w:r>
        <w:rPr>
          <w:sz w:val="21"/>
        </w:rPr>
        <w:t>cosmosdb: is_virtual_network_filter_enabled defaults to false even when public access is disabled</w:t>
      </w:r>
    </w:p>
    <w:p>
      <w:pPr>
        <w:pStyle w:val="ListBullet"/>
        <w:spacing w:after="40"/>
        <w:ind w:left="360"/>
      </w:pPr>
      <w:r>
        <w:rPr>
          <w:sz w:val="21"/>
        </w:rPr>
        <w:t>vnet-spoke: default CIDRs (10.10.1.0/24, 10.10.2.0/24...) are identical for every spoke — address conflicts guaranteed</w:t>
      </w:r>
    </w:p>
    <w:p>
      <w:pPr>
        <w:pStyle w:val="ListBullet"/>
        <w:spacing w:after="40"/>
        <w:ind w:left="360"/>
      </w:pPr>
      <w:r>
        <w:rPr>
          <w:sz w:val="21"/>
        </w:rPr>
        <w:t>aks: sku_tier hardcoded to Standard — no dev/free tier option</w:t>
      </w:r>
    </w:p>
    <w:p>
      <w:pPr>
        <w:spacing w:after="120"/>
        <w:ind w:left="432"/>
      </w:pPr>
      <w:r>
        <w:rPr>
          <w:b/>
          <w:color w:val="C00000"/>
          <w:sz w:val="21"/>
        </w:rPr>
        <w:t xml:space="preserve">Solution: </w:t>
      </w:r>
      <w:r>
        <w:rPr>
          <w:b/>
          <w:i/>
          <w:color w:val="C00000"/>
          <w:sz w:val="21"/>
        </w:rPr>
        <w:t>Adopt the standardized variable pattern: all variables have description, optional variables use default = null or typed optional(), validation blocks on string enums, map(object({...})) instead of map(any).</w:t>
      </w:r>
    </w:p>
    <w:p>
      <w:pPr>
        <w:spacing w:before="160" w:after="40"/>
      </w:pPr>
      <w:r>
        <w:rPr>
          <w:b/>
          <w:color w:val="BF5000"/>
          <w:sz w:val="24"/>
        </w:rPr>
        <w:t>Issue 6: Missing outputs.tf in Key Modules</w:t>
      </w:r>
    </w:p>
    <w:p>
      <w:pPr>
        <w:spacing w:after="80"/>
      </w:pPr>
      <w:r>
        <w:rPr>
          <w:b w:val="0"/>
          <w:sz w:val="21"/>
        </w:rPr>
        <w:t>Two frequently-used modules have no outputs.tf file at all:</w:t>
      </w:r>
    </w:p>
    <w:p>
      <w:pPr>
        <w:pStyle w:val="ListBullet"/>
        <w:spacing w:after="40"/>
        <w:ind w:left="360"/>
      </w:pPr>
      <w:r>
        <w:rPr>
          <w:sz w:val="21"/>
        </w:rPr>
        <w:t>diagnostics-1: no output — callers cannot reference the diagnostic setting ID for dependency chaining</w:t>
      </w:r>
    </w:p>
    <w:p>
      <w:pPr>
        <w:pStyle w:val="ListBullet"/>
        <w:spacing w:after="40"/>
        <w:ind w:left="360"/>
      </w:pPr>
      <w:r>
        <w:rPr>
          <w:sz w:val="21"/>
        </w:rPr>
        <w:t>private-endpoint: no output — callers cannot get the endpoint ID, NIC ID, or private IP address for DNS A-records</w:t>
      </w:r>
    </w:p>
    <w:p>
      <w:pPr>
        <w:pStyle w:val="ListBullet"/>
        <w:spacing w:after="40"/>
        <w:ind w:left="360"/>
      </w:pPr>
      <w:r>
        <w:rPr>
          <w:sz w:val="21"/>
        </w:rPr>
        <w:t>platform-tags: outputs defined in main.tf not outputs.tf — violates convention and breaks IDE navigation</w:t>
      </w:r>
    </w:p>
    <w:p>
      <w:pPr>
        <w:pStyle w:val="ListBullet"/>
        <w:spacing w:after="40"/>
        <w:ind w:left="360"/>
      </w:pPr>
      <w:r>
        <w:rPr>
          <w:sz w:val="21"/>
        </w:rPr>
        <w:t>naming: outputs in main.tf — same issue</w:t>
      </w:r>
    </w:p>
    <w:p>
      <w:pPr>
        <w:spacing w:after="120"/>
        <w:ind w:left="432"/>
      </w:pPr>
      <w:r>
        <w:rPr>
          <w:b/>
          <w:color w:val="C00000"/>
          <w:sz w:val="21"/>
        </w:rPr>
        <w:t xml:space="preserve">Solution: </w:t>
      </w:r>
      <w:r>
        <w:rPr>
          <w:b/>
          <w:i/>
          <w:color w:val="C00000"/>
          <w:sz w:val="21"/>
        </w:rPr>
        <w:t>Add outputs.tf to diagnostics-1, private-endpoint. Move outputs from main.tf to outputs.tf in platform-tags and naming.</w:t>
      </w:r>
    </w:p>
    <w:p>
      <w:pPr>
        <w:spacing w:before="160" w:after="40"/>
      </w:pPr>
      <w:r>
        <w:rPr>
          <w:b/>
          <w:color w:val="BF5000"/>
          <w:sz w:val="24"/>
        </w:rPr>
        <w:t>Issue 7: CI/CD Pre-Merge Gates Not Visible in Module Repos</w:t>
      </w:r>
    </w:p>
    <w:p>
      <w:pPr>
        <w:spacing w:after="80"/>
      </w:pPr>
      <w:r>
        <w:rPr>
          <w:b w:val="0"/>
          <w:sz w:val="21"/>
        </w:rPr>
        <w:t>azure-pipelines.yml present in repo but appears minimal — no evidence of:</w:t>
      </w:r>
    </w:p>
    <w:p>
      <w:pPr>
        <w:pStyle w:val="ListBullet"/>
        <w:spacing w:after="40"/>
        <w:ind w:left="360"/>
      </w:pPr>
      <w:r>
        <w:rPr>
          <w:sz w:val="21"/>
        </w:rPr>
        <w:t>terraform fmt -check enforcement on PR</w:t>
      </w:r>
    </w:p>
    <w:p>
      <w:pPr>
        <w:pStyle w:val="ListBullet"/>
        <w:spacing w:after="40"/>
        <w:ind w:left="360"/>
      </w:pPr>
      <w:r>
        <w:rPr>
          <w:sz w:val="21"/>
        </w:rPr>
        <w:t>terraform validate on PR</w:t>
      </w:r>
    </w:p>
    <w:p>
      <w:pPr>
        <w:pStyle w:val="ListBullet"/>
        <w:spacing w:after="40"/>
        <w:ind w:left="360"/>
      </w:pPr>
      <w:r>
        <w:rPr>
          <w:sz w:val="21"/>
        </w:rPr>
        <w:t>Checkov or tflint static analysis gate</w:t>
      </w:r>
    </w:p>
    <w:p>
      <w:pPr>
        <w:pStyle w:val="ListBullet"/>
        <w:spacing w:after="40"/>
        <w:ind w:left="360"/>
      </w:pPr>
      <w:r>
        <w:rPr>
          <w:sz w:val="21"/>
        </w:rPr>
        <w:t>Terraform test (test.go files exist in some modules but unclear if run in CI/CD)</w:t>
      </w:r>
    </w:p>
    <w:p>
      <w:pPr>
        <w:pStyle w:val="ListBullet"/>
        <w:spacing w:after="40"/>
        <w:ind w:left="360"/>
      </w:pPr>
      <w:r>
        <w:rPr>
          <w:sz w:val="21"/>
        </w:rPr>
        <w:t>Module version tagging automation on merge to main</w:t>
      </w:r>
    </w:p>
    <w:p>
      <w:pPr>
        <w:spacing w:after="120"/>
        <w:ind w:left="432"/>
      </w:pPr>
      <w:r>
        <w:rPr>
          <w:b/>
          <w:color w:val="C00000"/>
          <w:sz w:val="21"/>
        </w:rPr>
        <w:t xml:space="preserve">Solution: </w:t>
      </w:r>
      <w:r>
        <w:rPr>
          <w:b/>
          <w:i/>
          <w:color w:val="C00000"/>
          <w:sz w:val="21"/>
        </w:rPr>
        <w:t>Add pre-merge pipeline stages: fmt-check, validate, tflint, checkov, terraform test. Add post-merge stage: tag release and publish to HCP private registry.</w:t>
      </w:r>
    </w:p>
    <w:p>
      <w:pPr>
        <w:spacing w:before="160" w:after="40"/>
      </w:pPr>
      <w:r>
        <w:rPr>
          <w:b/>
          <w:color w:val="BF5000"/>
          <w:sz w:val="24"/>
        </w:rPr>
        <w:t>Issue 8: Hardcoded Environment-Specific Values in Global Stacks</w:t>
      </w:r>
    </w:p>
    <w:p>
      <w:pPr>
        <w:spacing w:after="80"/>
      </w:pPr>
      <w:r>
        <w:rPr>
          <w:b w:val="0"/>
          <w:sz w:val="21"/>
        </w:rPr>
        <w:t>Global stacks contain hardcoded values that break multi-environment usage:</w:t>
      </w:r>
    </w:p>
    <w:p>
      <w:pPr>
        <w:spacing w:after="80"/>
        <w:ind w:left="432"/>
        <w:shd w:val="clear" w:color="auto" w:fill="F0F0F0"/>
      </w:pPr>
      <w:r>
        <w:rPr>
          <w:rFonts w:ascii="Courier New" w:hAnsi="Courier New"/>
          <w:sz w:val="18"/>
        </w:rPr>
        <w:t>variable "subscriptions_state_subscription_id" {</w:t>
        <w:br/>
        <w:t xml:space="preserve">  default = "65ac2b14-e13a-40a0-bb50-93359232816e"  # hardcoded subscription ID</w:t>
        <w:br/>
        <w:t>}</w:t>
        <w:br/>
        <w:t>variable "subscriptions_state_sa" {</w:t>
        <w:br/>
        <w:t xml:space="preserve">  default = "demotest822e"  # hardcoded storage account name</w:t>
        <w:br/>
        <w:t>}</w:t>
      </w:r>
    </w:p>
    <w:p>
      <w:pPr>
        <w:pStyle w:val="ListBullet"/>
        <w:spacing w:after="40"/>
        <w:ind w:left="360"/>
      </w:pPr>
      <w:r>
        <w:rPr>
          <w:sz w:val="21"/>
        </w:rPr>
        <w:t>Any team standing up a second environment must override 5+ remote state variables</w:t>
      </w:r>
    </w:p>
    <w:p>
      <w:pPr>
        <w:pStyle w:val="ListBullet"/>
        <w:spacing w:after="40"/>
        <w:ind w:left="360"/>
      </w:pPr>
      <w:r>
        <w:rPr>
          <w:sz w:val="21"/>
        </w:rPr>
        <w:t>The demotest822e storage account name is clearly a dev placeholder in a production config</w:t>
      </w:r>
    </w:p>
    <w:p>
      <w:pPr>
        <w:pStyle w:val="ListBullet"/>
        <w:spacing w:after="40"/>
        <w:ind w:left="360"/>
      </w:pPr>
      <w:r>
        <w:rPr>
          <w:sz w:val="21"/>
        </w:rPr>
        <w:t>resource_grouping stack uses terraform.tf instead of versions.tf — naming inconsistency</w:t>
      </w:r>
    </w:p>
    <w:p>
      <w:pPr>
        <w:spacing w:after="120"/>
        <w:ind w:left="432"/>
      </w:pPr>
      <w:r>
        <w:rPr>
          <w:b/>
          <w:color w:val="C00000"/>
          <w:sz w:val="21"/>
        </w:rPr>
        <w:t xml:space="preserve">Solution: </w:t>
      </w:r>
      <w:r>
        <w:rPr>
          <w:b/>
          <w:i/>
          <w:color w:val="C00000"/>
          <w:sz w:val="21"/>
        </w:rPr>
        <w:t>Remove all hardcoded environment-specific defaults. Use required variables or neutral defaults. Provide .tfvars files per environment (dev.tfvars, prod.tfvars) committed alongside stacks.</w:t>
      </w:r>
    </w:p>
    <w:p>
      <w:r>
        <w:br w:type="page"/>
      </w:r>
    </w:p>
    <w:p>
      <w:pPr>
        <w:spacing w:before="280" w:after="80"/>
        <w:pBdr>
          <w:bottom w:val="single" w:sz="6" w:space="1" w:color="1F4E79"/>
        </w:pBdr>
      </w:pPr>
      <w:r>
        <w:rPr>
          <w:b/>
          <w:color w:val="1F4E79"/>
          <w:sz w:val="32"/>
        </w:rPr>
        <w:t>Repository Strategy: Individual Repos vs Monorepo</w:t>
      </w:r>
    </w:p>
    <w:p>
      <w:pPr>
        <w:spacing w:after="80"/>
      </w:pPr>
      <w:r>
        <w:rPr>
          <w:b w:val="0"/>
          <w:sz w:val="21"/>
        </w:rPr>
        <w:t>The HCP screenshots reveal two conflicting patterns in use simultaneously. The client's current ad-hoc pattern (individual repos per resource) vs the correct enterprise pattern already present in the codebase (monorepo stacks):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Dimension</w:t>
            </w:r>
          </w:p>
        </w:tc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Current: Per-Resource Repos</w:t>
            </w:r>
          </w:p>
        </w:tc>
        <w:tc>
          <w:tcPr>
            <w:tcW w:type="dxa" w:w="4032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Correct: Monorepo + Private Registry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/>
            <w:r>
              <w:rPr>
                <w:b/>
                <w:sz w:val="20"/>
              </w:rPr>
              <w:t>HCP Workspaces</w:t>
            </w:r>
          </w:p>
        </w:tc>
        <w:tc>
          <w:tcPr>
            <w:tcW w:type="dxa" w:w="3120"/>
            <w:shd w:val="clear" w:color="auto" w:fill="FFE0E0"/>
          </w:tcPr>
          <w:p>
            <w:r/>
            <w:r>
              <w:rPr>
                <w:color w:val="C00000"/>
                <w:sz w:val="20"/>
              </w:rPr>
              <w:t>One per resource type</w:t>
              <w:br/>
              <w:t>(storage, event-grid, function-app...)</w:t>
            </w:r>
          </w:p>
        </w:tc>
        <w:tc>
          <w:tcPr>
            <w:tcW w:type="dxa" w:w="3120"/>
            <w:shd w:val="clear" w:color="auto" w:fill="E2EFDA"/>
          </w:tcPr>
          <w:p>
            <w:r/>
            <w:r>
              <w:rPr>
                <w:color w:val="375A10"/>
                <w:sz w:val="20"/>
              </w:rPr>
              <w:t>One per stack</w:t>
              <w:br/>
              <w:t>(platform-connectivity, workload-finserv-api)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b/>
                <w:sz w:val="20"/>
              </w:rPr>
              <w:t>State dependencies</w:t>
            </w:r>
          </w:p>
        </w:tc>
        <w:tc>
          <w:tcPr>
            <w:tcW w:type="dxa" w:w="3120"/>
            <w:shd w:val="clear" w:color="auto" w:fill="FFE0E0"/>
          </w:tcPr>
          <w:p>
            <w:r/>
            <w:r>
              <w:rPr>
                <w:color w:val="C00000"/>
                <w:sz w:val="20"/>
              </w:rPr>
              <w:t>None — each workspace isolated, drift accumulates</w:t>
            </w:r>
          </w:p>
        </w:tc>
        <w:tc>
          <w:tcPr>
            <w:tcW w:type="dxa" w:w="3120"/>
            <w:shd w:val="clear" w:color="auto" w:fill="E2EFDA"/>
          </w:tcPr>
          <w:p>
            <w:r/>
            <w:r>
              <w:rPr>
                <w:color w:val="375A10"/>
                <w:sz w:val="20"/>
              </w:rPr>
              <w:t>Remote state reads enforce dependency chain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/>
            <w:r>
              <w:rPr>
                <w:b/>
                <w:sz w:val="20"/>
              </w:rPr>
              <w:t>Module consumption</w:t>
            </w:r>
          </w:p>
        </w:tc>
        <w:tc>
          <w:tcPr>
            <w:tcW w:type="dxa" w:w="3120"/>
            <w:shd w:val="clear" w:color="auto" w:fill="FFE0E0"/>
          </w:tcPr>
          <w:p>
            <w:r/>
            <w:r>
              <w:rPr>
                <w:color w:val="C00000"/>
                <w:sz w:val="20"/>
              </w:rPr>
              <w:t>Each repo has its own copy of resource config</w:t>
            </w:r>
          </w:p>
        </w:tc>
        <w:tc>
          <w:tcPr>
            <w:tcW w:type="dxa" w:w="3120"/>
            <w:shd w:val="clear" w:color="auto" w:fill="E2EFDA"/>
          </w:tcPr>
          <w:p>
            <w:r/>
            <w:r>
              <w:rPr>
                <w:color w:val="375A10"/>
                <w:sz w:val="20"/>
              </w:rPr>
              <w:t>All stacks reference versioned modules from private registry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b/>
                <w:sz w:val="20"/>
              </w:rPr>
              <w:t>Standards enforcement</w:t>
            </w:r>
          </w:p>
        </w:tc>
        <w:tc>
          <w:tcPr>
            <w:tcW w:type="dxa" w:w="3120"/>
            <w:shd w:val="clear" w:color="auto" w:fill="FFE0E0"/>
          </w:tcPr>
          <w:p>
            <w:r/>
            <w:r>
              <w:rPr>
                <w:color w:val="C00000"/>
                <w:sz w:val="20"/>
              </w:rPr>
              <w:t>Cannot be enforced — each repo diverges independently</w:t>
            </w:r>
          </w:p>
        </w:tc>
        <w:tc>
          <w:tcPr>
            <w:tcW w:type="dxa" w:w="3120"/>
            <w:shd w:val="clear" w:color="auto" w:fill="E2EFDA"/>
          </w:tcPr>
          <w:p>
            <w:r/>
            <w:r>
              <w:rPr>
                <w:color w:val="375A10"/>
                <w:sz w:val="20"/>
              </w:rPr>
              <w:t>HCP Sentinel policies enforce registry source and version constraints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/>
            <w:r>
              <w:rPr>
                <w:b/>
                <w:sz w:val="20"/>
              </w:rPr>
              <w:t>Cross-team onboarding</w:t>
            </w:r>
          </w:p>
        </w:tc>
        <w:tc>
          <w:tcPr>
            <w:tcW w:type="dxa" w:w="3120"/>
            <w:shd w:val="clear" w:color="auto" w:fill="FFE0E0"/>
          </w:tcPr>
          <w:p>
            <w:r/>
            <w:r>
              <w:rPr>
                <w:color w:val="C00000"/>
                <w:sz w:val="20"/>
              </w:rPr>
              <w:t>Fork a repo, manually copy config, manually maintain</w:t>
            </w:r>
          </w:p>
        </w:tc>
        <w:tc>
          <w:tcPr>
            <w:tcW w:type="dxa" w:w="3120"/>
            <w:shd w:val="clear" w:color="auto" w:fill="E2EFDA"/>
          </w:tcPr>
          <w:p>
            <w:r/>
            <w:r>
              <w:rPr>
                <w:color w:val="375A10"/>
                <w:sz w:val="20"/>
              </w:rPr>
              <w:t>Add registry module block, pin version, set variables — done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b/>
                <w:sz w:val="20"/>
              </w:rPr>
              <w:t>Version control</w:t>
            </w:r>
          </w:p>
        </w:tc>
        <w:tc>
          <w:tcPr>
            <w:tcW w:type="dxa" w:w="3120"/>
            <w:shd w:val="clear" w:color="auto" w:fill="FFE0E0"/>
          </w:tcPr>
          <w:p>
            <w:r/>
            <w:r>
              <w:rPr>
                <w:color w:val="C00000"/>
                <w:sz w:val="20"/>
              </w:rPr>
              <w:t>No versioning — changes break all consumers immediately</w:t>
            </w:r>
          </w:p>
        </w:tc>
        <w:tc>
          <w:tcPr>
            <w:tcW w:type="dxa" w:w="3120"/>
            <w:shd w:val="clear" w:color="auto" w:fill="E2EFDA"/>
          </w:tcPr>
          <w:p>
            <w:r/>
            <w:r>
              <w:rPr>
                <w:color w:val="375A10"/>
                <w:sz w:val="20"/>
              </w:rPr>
              <w:t>Semantic versioning: v1.x compatible, v2.0 is breaking change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/>
            <w:r>
              <w:rPr>
                <w:b/>
                <w:sz w:val="20"/>
              </w:rPr>
              <w:t>Drift root cause</w:t>
            </w:r>
          </w:p>
        </w:tc>
        <w:tc>
          <w:tcPr>
            <w:tcW w:type="dxa" w:w="3120"/>
            <w:shd w:val="clear" w:color="auto" w:fill="FFE0E0"/>
          </w:tcPr>
          <w:p>
            <w:r/>
            <w:r>
              <w:rPr>
                <w:color w:val="C00000"/>
                <w:sz w:val="20"/>
              </w:rPr>
              <w:t>No shared dependency graph — resources are islands</w:t>
            </w:r>
          </w:p>
        </w:tc>
        <w:tc>
          <w:tcPr>
            <w:tcW w:type="dxa" w:w="3120"/>
            <w:shd w:val="clear" w:color="auto" w:fill="E2EFDA"/>
          </w:tcPr>
          <w:p>
            <w:r/>
            <w:r>
              <w:rPr>
                <w:color w:val="375A10"/>
                <w:sz w:val="20"/>
              </w:rPr>
              <w:t>Single plan captures all resource interdependencies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b/>
                <w:sz w:val="20"/>
              </w:rPr>
              <w:t>New resource types</w:t>
            </w:r>
          </w:p>
        </w:tc>
        <w:tc>
          <w:tcPr>
            <w:tcW w:type="dxa" w:w="3120"/>
            <w:shd w:val="clear" w:color="auto" w:fill="FFE0E0"/>
          </w:tcPr>
          <w:p>
            <w:r/>
            <w:r>
              <w:rPr>
                <w:color w:val="C00000"/>
                <w:sz w:val="20"/>
              </w:rPr>
              <w:t>Create new repo (ad hoc) — no library check first</w:t>
            </w:r>
          </w:p>
        </w:tc>
        <w:tc>
          <w:tcPr>
            <w:tcW w:type="dxa" w:w="3120"/>
            <w:shd w:val="clear" w:color="auto" w:fill="E2EFDA"/>
          </w:tcPr>
          <w:p>
            <w:r/>
            <w:r>
              <w:rPr>
                <w:color w:val="375A10"/>
                <w:sz w:val="20"/>
              </w:rPr>
              <w:t>Add module to library, publish, all teams can consume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/>
            <w:r>
              <w:rPr>
                <w:b/>
                <w:sz w:val="20"/>
              </w:rPr>
              <w:t>Missing resources</w:t>
            </w:r>
          </w:p>
        </w:tc>
        <w:tc>
          <w:tcPr>
            <w:tcW w:type="dxa" w:w="3120"/>
            <w:shd w:val="clear" w:color="auto" w:fill="FFE0E0"/>
          </w:tcPr>
          <w:p>
            <w:r/>
            <w:r>
              <w:rPr>
                <w:color w:val="C00000"/>
                <w:sz w:val="20"/>
              </w:rPr>
              <w:t>event_grid, availability_set have no module — built ad hoc</w:t>
            </w:r>
          </w:p>
        </w:tc>
        <w:tc>
          <w:tcPr>
            <w:tcW w:type="dxa" w:w="3120"/>
            <w:shd w:val="clear" w:color="auto" w:fill="E2EFDA"/>
          </w:tcPr>
          <w:p>
            <w:r/>
            <w:r>
              <w:rPr>
                <w:color w:val="375A10"/>
                <w:sz w:val="20"/>
              </w:rPr>
              <w:t>Module library is the single source; missing = tracked gap</w:t>
            </w:r>
          </w:p>
        </w:tc>
      </w:tr>
    </w:tbl>
    <w:p>
      <w:pPr>
        <w:spacing w:after="80"/>
      </w:pPr>
      <w:r>
        <w:rPr>
          <w:b/>
          <w:sz w:val="21"/>
        </w:rPr>
        <w:br/>
        <w:t>Recommendation: The monorepo module library already exists and is well-structured. The only missing step is publishing modules to the HCP Private Module Registry and migrating the per-resource workspaces into proper stacks.</w:t>
      </w:r>
    </w:p>
    <w:p/>
    <w:p>
      <w:pPr>
        <w:spacing w:before="160" w:after="40"/>
      </w:pPr>
      <w:r>
        <w:rPr>
          <w:b/>
          <w:color w:val="1F6B6B"/>
          <w:sz w:val="24"/>
        </w:rPr>
        <w:t>Recommended HCP Workspace Naming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Pattern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Example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Scope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/>
            <w:r>
              <w:rPr>
                <w:rFonts w:ascii="Courier New" w:hAnsi="Courier New"/>
                <w:b/>
                <w:sz w:val="20"/>
              </w:rPr>
              <w:t>global-&lt;layer&gt;</w:t>
            </w:r>
          </w:p>
        </w:tc>
        <w:tc>
          <w:tcPr>
            <w:tcW w:type="dxa" w:w="3120"/>
            <w:shd w:val="clear" w:color="auto" w:fill="EBF3FB"/>
          </w:tcPr>
          <w:p>
            <w:r/>
            <w:r>
              <w:rPr>
                <w:sz w:val="20"/>
              </w:rPr>
              <w:t>global-management-groups</w:t>
              <w:br/>
              <w:t>global-subscriptions</w:t>
            </w:r>
          </w:p>
        </w:tc>
        <w:tc>
          <w:tcPr>
            <w:tcW w:type="dxa" w:w="3120"/>
            <w:shd w:val="clear" w:color="auto" w:fill="EBF3FB"/>
          </w:tcPr>
          <w:p>
            <w:r/>
            <w:r>
              <w:rPr>
                <w:sz w:val="20"/>
              </w:rPr>
              <w:t>Tenant-wide, run once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rFonts w:ascii="Courier New" w:hAnsi="Courier New"/>
                <w:b/>
                <w:sz w:val="20"/>
              </w:rPr>
              <w:t>platform-&lt;env&gt;-&lt;layer&gt;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20"/>
              </w:rPr>
              <w:t>platform-dev-connectivity</w:t>
              <w:br/>
              <w:t>platform-prod-management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20"/>
              </w:rPr>
              <w:t>Per-environment platform stack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/>
            <w:r>
              <w:rPr>
                <w:rFonts w:ascii="Courier New" w:hAnsi="Courier New"/>
                <w:b/>
                <w:sz w:val="20"/>
              </w:rPr>
              <w:t>workload-&lt;env&gt;-&lt;app&gt;</w:t>
            </w:r>
          </w:p>
        </w:tc>
        <w:tc>
          <w:tcPr>
            <w:tcW w:type="dxa" w:w="3120"/>
            <w:shd w:val="clear" w:color="auto" w:fill="EBF3FB"/>
          </w:tcPr>
          <w:p>
            <w:r/>
            <w:r>
              <w:rPr>
                <w:sz w:val="20"/>
              </w:rPr>
              <w:t>workload-dev-finserv-api</w:t>
              <w:br/>
              <w:t>workload-prod-payments-api</w:t>
            </w:r>
          </w:p>
        </w:tc>
        <w:tc>
          <w:tcPr>
            <w:tcW w:type="dxa" w:w="3120"/>
            <w:shd w:val="clear" w:color="auto" w:fill="EBF3FB"/>
          </w:tcPr>
          <w:p>
            <w:r/>
            <w:r>
              <w:rPr>
                <w:sz w:val="20"/>
              </w:rPr>
              <w:t>Per-environment per-workload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1F4E79"/>
        </w:pBdr>
      </w:pPr>
      <w:r>
        <w:rPr>
          <w:b/>
          <w:color w:val="1F4E79"/>
          <w:sz w:val="32"/>
        </w:rPr>
        <w:t>Enterprise Module Patterns</w:t>
      </w:r>
    </w:p>
    <w:p>
      <w:pPr>
        <w:spacing w:after="80"/>
      </w:pPr>
      <w:r>
        <w:rPr>
          <w:b w:val="0"/>
          <w:sz w:val="21"/>
        </w:rPr>
        <w:t>The following patterns must be applied uniformly across all modules in the library. Modules that do not meet these patterns must be updated before publishing to the HCP Private Registry.</w:t>
      </w:r>
    </w:p>
    <w:p>
      <w:pPr>
        <w:spacing w:before="160" w:after="40"/>
      </w:pPr>
      <w:r>
        <w:rPr>
          <w:b/>
          <w:color w:val="1F6B6B"/>
          <w:sz w:val="24"/>
        </w:rPr>
        <w:t>Pattern 1: Module File Structure</w:t>
      </w:r>
    </w:p>
    <w:p>
      <w:pPr>
        <w:spacing w:after="80"/>
      </w:pPr>
      <w:r>
        <w:rPr>
          <w:b w:val="0"/>
          <w:sz w:val="21"/>
        </w:rPr>
        <w:t>Every module MUST have the following files:</w:t>
      </w:r>
    </w:p>
    <w:p>
      <w:pPr>
        <w:pStyle w:val="ListBullet"/>
        <w:spacing w:after="40"/>
        <w:ind w:left="360"/>
      </w:pPr>
      <w:r>
        <w:rPr>
          <w:b/>
          <w:sz w:val="21"/>
        </w:rPr>
        <w:t>main.tf</w:t>
      </w:r>
      <w:r>
        <w:rPr>
          <w:sz w:val="21"/>
        </w:rPr>
        <w:t xml:space="preserve">  main.tf</w:t>
      </w:r>
    </w:p>
    <w:p>
      <w:pPr>
        <w:pStyle w:val="ListBullet"/>
        <w:spacing w:after="40"/>
        <w:ind w:left="360"/>
      </w:pPr>
      <w:r>
        <w:rPr>
          <w:b/>
          <w:sz w:val="21"/>
        </w:rPr>
        <w:t>variables.tf</w:t>
      </w:r>
      <w:r>
        <w:rPr>
          <w:sz w:val="21"/>
        </w:rPr>
        <w:t xml:space="preserve">  variables.tf</w:t>
      </w:r>
    </w:p>
    <w:p>
      <w:pPr>
        <w:pStyle w:val="ListBullet"/>
        <w:spacing w:after="40"/>
        <w:ind w:left="360"/>
      </w:pPr>
      <w:r>
        <w:rPr>
          <w:b/>
          <w:sz w:val="21"/>
        </w:rPr>
        <w:t>outputs.tf</w:t>
      </w:r>
      <w:r>
        <w:rPr>
          <w:sz w:val="21"/>
        </w:rPr>
        <w:t xml:space="preserve">  outputs.tf</w:t>
      </w:r>
    </w:p>
    <w:p>
      <w:pPr>
        <w:pStyle w:val="ListBullet"/>
        <w:spacing w:after="40"/>
        <w:ind w:left="360"/>
      </w:pPr>
      <w:r>
        <w:rPr>
          <w:b/>
          <w:sz w:val="21"/>
        </w:rPr>
        <w:t>versions.tf</w:t>
      </w:r>
      <w:r>
        <w:rPr>
          <w:sz w:val="21"/>
        </w:rPr>
        <w:t xml:space="preserve">  versions.tf</w:t>
      </w:r>
    </w:p>
    <w:p>
      <w:pPr>
        <w:pStyle w:val="ListBullet"/>
        <w:spacing w:after="40"/>
        <w:ind w:left="360"/>
      </w:pPr>
      <w:r>
        <w:rPr>
          <w:b/>
          <w:sz w:val="21"/>
        </w:rPr>
        <w:t>README.md</w:t>
      </w:r>
      <w:r>
        <w:rPr>
          <w:sz w:val="21"/>
        </w:rPr>
        <w:t xml:space="preserve">  README.md</w:t>
      </w:r>
    </w:p>
    <w:p>
      <w:pPr>
        <w:pStyle w:val="ListBullet"/>
        <w:spacing w:after="40"/>
      </w:pPr>
      <w:r>
        <w:rPr>
          <w:rFonts w:ascii="Courier New" w:hAnsi="Courier New"/>
          <w:b/>
          <w:sz w:val="21"/>
        </w:rPr>
        <w:t xml:space="preserve">main.tf — </w:t>
      </w:r>
      <w:r>
        <w:rPr>
          <w:sz w:val="21"/>
        </w:rPr>
        <w:t>Resource definitions and locals only</w:t>
      </w:r>
    </w:p>
    <w:p>
      <w:pPr>
        <w:pStyle w:val="ListBullet"/>
        <w:spacing w:after="40"/>
      </w:pPr>
      <w:r>
        <w:rPr>
          <w:rFonts w:ascii="Courier New" w:hAnsi="Courier New"/>
          <w:b/>
          <w:sz w:val="21"/>
        </w:rPr>
        <w:t xml:space="preserve">variables.tf — </w:t>
      </w:r>
      <w:r>
        <w:rPr>
          <w:sz w:val="21"/>
        </w:rPr>
        <w:t>All inputs: type, description, default or required, validation blocks</w:t>
      </w:r>
    </w:p>
    <w:p>
      <w:pPr>
        <w:pStyle w:val="ListBullet"/>
        <w:spacing w:after="40"/>
      </w:pPr>
      <w:r>
        <w:rPr>
          <w:rFonts w:ascii="Courier New" w:hAnsi="Courier New"/>
          <w:b/>
          <w:sz w:val="21"/>
        </w:rPr>
        <w:t xml:space="preserve">outputs.tf — </w:t>
      </w:r>
      <w:r>
        <w:rPr>
          <w:sz w:val="21"/>
        </w:rPr>
        <w:t>All outputs — NEVER in main.tf or locals.tf</w:t>
      </w:r>
    </w:p>
    <w:p>
      <w:pPr>
        <w:pStyle w:val="ListBullet"/>
        <w:spacing w:after="40"/>
      </w:pPr>
      <w:r>
        <w:rPr>
          <w:rFonts w:ascii="Courier New" w:hAnsi="Courier New"/>
          <w:b/>
          <w:sz w:val="21"/>
        </w:rPr>
        <w:t xml:space="preserve">versions.tf — </w:t>
      </w:r>
      <w:r>
        <w:rPr>
          <w:sz w:val="21"/>
        </w:rPr>
        <w:t>Provider version pins: azurerm ~&gt; 4.0, azapi ~&gt; 2.3 if used</w:t>
      </w:r>
    </w:p>
    <w:p>
      <w:pPr>
        <w:pStyle w:val="ListBullet"/>
        <w:spacing w:after="40"/>
      </w:pPr>
      <w:r>
        <w:rPr>
          <w:rFonts w:ascii="Courier New" w:hAnsi="Courier New"/>
          <w:b/>
          <w:sz w:val="21"/>
        </w:rPr>
        <w:t xml:space="preserve">README.md — </w:t>
      </w:r>
      <w:r>
        <w:rPr>
          <w:sz w:val="21"/>
        </w:rPr>
        <w:t>Purpose, required vars, optional vars, examples, outputs</w:t>
      </w:r>
    </w:p>
    <w:p>
      <w:pPr>
        <w:spacing w:after="80"/>
      </w:pPr>
      <w:r>
        <w:rPr>
          <w:b w:val="0"/>
          <w:sz w:val="21"/>
        </w:rPr>
        <w:br/>
        <w:t>Tags: Always accept tags as a map(string) variable with default = {}. Never hardcode tags inside the module.</w:t>
      </w:r>
    </w:p>
    <w:p>
      <w:pPr>
        <w:spacing w:before="160" w:after="40"/>
      </w:pPr>
      <w:r>
        <w:rPr>
          <w:b/>
          <w:color w:val="1F6B6B"/>
          <w:sz w:val="24"/>
        </w:rPr>
        <w:t>Pattern 2: Variable Naming Convention</w:t>
      </w:r>
    </w:p>
    <w:p>
      <w:pPr>
        <w:spacing w:after="80"/>
      </w:pPr>
      <w:r>
        <w:rPr>
          <w:b w:val="0"/>
          <w:sz w:val="21"/>
        </w:rPr>
        <w:t>Consistent naming across all modules for predictability:</w:t>
      </w:r>
    </w:p>
    <w:p>
      <w:pPr>
        <w:pStyle w:val="ListBullet"/>
        <w:spacing w:after="40"/>
        <w:ind w:left="360"/>
      </w:pPr>
      <w:r>
        <w:rPr>
          <w:b/>
          <w:sz w:val="21"/>
        </w:rPr>
        <w:t>resource_group_name</w:t>
      </w:r>
      <w:r>
        <w:rPr>
          <w:sz w:val="21"/>
        </w:rPr>
        <w:t xml:space="preserve"> (always present, required)</w:t>
      </w:r>
    </w:p>
    <w:p>
      <w:pPr>
        <w:pStyle w:val="ListBullet"/>
        <w:spacing w:after="40"/>
        <w:ind w:left="360"/>
      </w:pPr>
      <w:r>
        <w:rPr>
          <w:b/>
          <w:sz w:val="21"/>
        </w:rPr>
        <w:t>location</w:t>
      </w:r>
      <w:r>
        <w:rPr>
          <w:sz w:val="21"/>
        </w:rPr>
        <w:t xml:space="preserve"> (always present, required)</w:t>
      </w:r>
    </w:p>
    <w:p>
      <w:pPr>
        <w:pStyle w:val="ListBullet"/>
        <w:spacing w:after="40"/>
        <w:ind w:left="360"/>
      </w:pPr>
      <w:r>
        <w:rPr>
          <w:b/>
          <w:sz w:val="21"/>
        </w:rPr>
        <w:t>name</w:t>
      </w:r>
      <w:r>
        <w:rPr>
          <w:sz w:val="21"/>
        </w:rPr>
        <w:t xml:space="preserve"> (resource name, always required)</w:t>
      </w:r>
    </w:p>
    <w:p>
      <w:pPr>
        <w:pStyle w:val="ListBullet"/>
        <w:spacing w:after="40"/>
        <w:ind w:left="360"/>
      </w:pPr>
      <w:r>
        <w:rPr>
          <w:b/>
          <w:sz w:val="21"/>
        </w:rPr>
        <w:t>tags</w:t>
      </w:r>
      <w:r>
        <w:rPr>
          <w:sz w:val="21"/>
        </w:rPr>
        <w:t xml:space="preserve"> (always present, map(string), default = {})</w:t>
      </w:r>
    </w:p>
    <w:p>
      <w:pPr>
        <w:pStyle w:val="ListBullet"/>
        <w:spacing w:after="40"/>
        <w:ind w:left="360"/>
      </w:pPr>
      <w:r>
        <w:rPr>
          <w:b/>
          <w:sz w:val="21"/>
        </w:rPr>
        <w:t>&lt;resource&gt;_name</w:t>
      </w:r>
      <w:r>
        <w:rPr>
          <w:sz w:val="21"/>
        </w:rPr>
        <w:t xml:space="preserve"> (module-specific, e.g., database_name, key_name)</w:t>
      </w:r>
    </w:p>
    <w:p>
      <w:pPr>
        <w:pStyle w:val="ListBullet"/>
        <w:spacing w:after="40"/>
        <w:ind w:left="360"/>
      </w:pPr>
      <w:r>
        <w:rPr>
          <w:b/>
          <w:sz w:val="21"/>
        </w:rPr>
        <w:t>enable_&lt;feature&gt;</w:t>
      </w:r>
      <w:r>
        <w:rPr>
          <w:sz w:val="21"/>
        </w:rPr>
        <w:t xml:space="preserve"> (optional boolean, always defaults to false)</w:t>
      </w:r>
    </w:p>
    <w:p>
      <w:pPr>
        <w:pStyle w:val="ListBullet"/>
        <w:spacing w:after="40"/>
        <w:ind w:left="360"/>
      </w:pPr>
      <w:r>
        <w:rPr>
          <w:b/>
          <w:sz w:val="21"/>
        </w:rPr>
        <w:t>&lt;feature&gt;_enabled</w:t>
      </w:r>
      <w:r>
        <w:rPr>
          <w:sz w:val="21"/>
        </w:rPr>
        <w:t xml:space="preserve"> (state of an existing feature, boolean)</w:t>
      </w:r>
    </w:p>
    <w:p>
      <w:pPr>
        <w:pStyle w:val="ListBullet"/>
        <w:spacing w:after="40"/>
        <w:ind w:left="360"/>
      </w:pPr>
      <w:r>
        <w:rPr>
          <w:b/>
          <w:sz w:val="21"/>
        </w:rPr>
        <w:t>&lt;feature&gt;_config</w:t>
      </w:r>
      <w:r>
        <w:rPr>
          <w:sz w:val="21"/>
        </w:rPr>
        <w:t xml:space="preserve"> (complex optional nested object for advanced config)</w:t>
      </w:r>
    </w:p>
    <w:p>
      <w:pPr>
        <w:pStyle w:val="ListBullet"/>
        <w:spacing w:after="40"/>
        <w:ind w:left="360"/>
      </w:pPr>
      <w:r>
        <w:rPr>
          <w:b/>
          <w:sz w:val="21"/>
        </w:rPr>
        <w:t>identity_type</w:t>
      </w:r>
      <w:r>
        <w:rPr>
          <w:sz w:val="21"/>
        </w:rPr>
        <w:t xml:space="preserve"> (always with validation block: SystemAssigned, UserAssigned, etc.)</w:t>
      </w:r>
    </w:p>
    <w:p>
      <w:pPr>
        <w:spacing w:before="160" w:after="40"/>
      </w:pPr>
      <w:r>
        <w:rPr>
          <w:b/>
          <w:color w:val="1F6B6B"/>
          <w:sz w:val="24"/>
        </w:rPr>
        <w:t>Pattern 3: Testing &amp; Validation</w:t>
      </w:r>
    </w:p>
    <w:p>
      <w:pPr>
        <w:spacing w:after="80"/>
      </w:pPr>
      <w:r>
        <w:rPr>
          <w:b w:val="0"/>
          <w:sz w:val="21"/>
        </w:rPr>
        <w:t>All modules MUST have test coverage before publishing to HCP registry:</w:t>
      </w:r>
    </w:p>
    <w:p>
      <w:pPr>
        <w:pStyle w:val="ListBullet"/>
        <w:spacing w:after="40"/>
        <w:ind w:left="360"/>
      </w:pPr>
      <w:r>
        <w:rPr>
          <w:sz w:val="21"/>
        </w:rPr>
        <w:t>Test valid inputs — module should successfully plan and apply with minimal required variables</w:t>
      </w:r>
    </w:p>
    <w:p>
      <w:pPr>
        <w:pStyle w:val="ListBullet"/>
        <w:spacing w:after="40"/>
        <w:ind w:left="360"/>
      </w:pPr>
      <w:r>
        <w:rPr>
          <w:sz w:val="21"/>
        </w:rPr>
        <w:t>Test optional variables — both with and without optional configs enabled</w:t>
      </w:r>
    </w:p>
    <w:p>
      <w:pPr>
        <w:pStyle w:val="ListBullet"/>
        <w:spacing w:after="40"/>
        <w:ind w:left="360"/>
      </w:pPr>
      <w:r>
        <w:rPr>
          <w:sz w:val="21"/>
        </w:rPr>
        <w:t>Test dynamic blocks — edge case: empty list/map should not fail plan</w:t>
      </w:r>
    </w:p>
    <w:p>
      <w:pPr>
        <w:pStyle w:val="ListBullet"/>
        <w:spacing w:after="40"/>
        <w:ind w:left="360"/>
      </w:pPr>
      <w:r>
        <w:rPr>
          <w:sz w:val="21"/>
        </w:rPr>
        <w:t>Test backward compatibility — v1.0.x callers should still work after v1.1.0 update</w:t>
      </w:r>
    </w:p>
    <w:p>
      <w:pPr>
        <w:pStyle w:val="ListBullet"/>
        <w:spacing w:after="40"/>
        <w:ind w:left="360"/>
      </w:pPr>
      <w:r>
        <w:rPr>
          <w:sz w:val="21"/>
        </w:rPr>
        <w:t>Tests must run on EVERY PR before the module version can be tagged and published</w:t>
      </w:r>
    </w:p>
    <w:p>
      <w:pPr>
        <w:pStyle w:val="ListBullet"/>
        <w:spacing w:after="40"/>
        <w:ind w:left="360"/>
      </w:pPr>
      <w:r>
        <w:rPr>
          <w:sz w:val="21"/>
        </w:rPr>
        <w:t>Never hardcode real credentials in test files — use environment variables or mocked values</w:t>
      </w:r>
    </w:p>
    <w:p>
      <w:pPr>
        <w:spacing w:before="160" w:after="40"/>
      </w:pPr>
      <w:r>
        <w:rPr>
          <w:b/>
          <w:color w:val="1F6B6B"/>
          <w:sz w:val="24"/>
        </w:rPr>
        <w:t>Pattern 4: Documentation</w:t>
      </w:r>
    </w:p>
    <w:p>
      <w:pPr>
        <w:spacing w:after="80"/>
      </w:pPr>
      <w:r>
        <w:rPr>
          <w:b w:val="0"/>
          <w:sz w:val="21"/>
        </w:rPr>
        <w:t>README.md MUST document:</w:t>
      </w:r>
    </w:p>
    <w:p>
      <w:pPr>
        <w:pStyle w:val="ListBullet"/>
        <w:spacing w:after="40"/>
        <w:ind w:left="360"/>
      </w:pPr>
      <w:r>
        <w:rPr>
          <w:sz w:val="21"/>
        </w:rPr>
        <w:t>What the module does (1-2 sentences) and what it does NOT do (scope boundaries)</w:t>
      </w:r>
    </w:p>
    <w:p>
      <w:pPr>
        <w:pStyle w:val="ListBullet"/>
        <w:spacing w:after="40"/>
        <w:ind w:left="360"/>
      </w:pPr>
      <w:r>
        <w:rPr>
          <w:sz w:val="21"/>
        </w:rPr>
        <w:t>Minimal required variables: resource_group_name, location, name, tags</w:t>
      </w:r>
    </w:p>
    <w:p>
      <w:pPr>
        <w:pStyle w:val="ListBullet"/>
        <w:spacing w:after="40"/>
        <w:ind w:left="360"/>
      </w:pPr>
      <w:r>
        <w:rPr>
          <w:sz w:val="21"/>
        </w:rPr>
        <w:t>Optional features: which enable_* flags exist, what they create, default state</w:t>
      </w:r>
    </w:p>
    <w:p>
      <w:pPr>
        <w:pStyle w:val="ListBullet"/>
        <w:spacing w:after="40"/>
        <w:ind w:left="360"/>
      </w:pPr>
      <w:r>
        <w:rPr>
          <w:sz w:val="21"/>
        </w:rPr>
        <w:t>Usage example: simple case (minimal variables) + complex case (all optional features on)</w:t>
      </w:r>
    </w:p>
    <w:p>
      <w:pPr>
        <w:pStyle w:val="ListBullet"/>
        <w:spacing w:after="40"/>
        <w:ind w:left="360"/>
      </w:pPr>
      <w:r>
        <w:rPr>
          <w:sz w:val="21"/>
        </w:rPr>
        <w:t>Outputs: what the module returns and how to reference it in a consuming stack</w:t>
      </w:r>
    </w:p>
    <w:p>
      <w:pPr>
        <w:pStyle w:val="ListBullet"/>
        <w:spacing w:after="40"/>
        <w:ind w:left="360"/>
      </w:pPr>
      <w:r>
        <w:rPr>
          <w:sz w:val="21"/>
        </w:rPr>
        <w:t>Known limitations and recommended companion modules (e.g., 'use private-endpoint module for network isolation')</w:t>
      </w:r>
    </w:p>
    <w:p>
      <w:pPr>
        <w:spacing w:before="160" w:after="40"/>
      </w:pPr>
      <w:r>
        <w:rPr>
          <w:b/>
          <w:color w:val="1F6B6B"/>
          <w:sz w:val="24"/>
        </w:rPr>
        <w:t>Pattern 5: Versioning &amp; Publishing to HCP Private Registry</w:t>
      </w:r>
    </w:p>
    <w:p>
      <w:pPr>
        <w:spacing w:after="80"/>
      </w:pPr>
      <w:r>
        <w:rPr>
          <w:b w:val="0"/>
          <w:sz w:val="21"/>
        </w:rPr>
        <w:t>Semantic versioning with HCP registry publishing:</w:t>
      </w:r>
    </w:p>
    <w:p>
      <w:pPr>
        <w:pStyle w:val="ListBullet"/>
        <w:spacing w:after="40"/>
        <w:ind w:left="360"/>
      </w:pPr>
      <w:r>
        <w:rPr>
          <w:sz w:val="21"/>
        </w:rPr>
        <w:t>v1.0.0 — Initial release: all core features exposed, passes CI/CD gates</w:t>
      </w:r>
    </w:p>
    <w:p>
      <w:pPr>
        <w:pStyle w:val="ListBullet"/>
        <w:spacing w:after="40"/>
        <w:ind w:left="360"/>
      </w:pPr>
      <w:r>
        <w:rPr>
          <w:sz w:val="21"/>
        </w:rPr>
        <w:t>v1.1.0 — Add optional features: backward compatible, new optional variables only</w:t>
      </w:r>
    </w:p>
    <w:p>
      <w:pPr>
        <w:pStyle w:val="ListBullet"/>
        <w:spacing w:after="40"/>
        <w:ind w:left="360"/>
      </w:pPr>
      <w:r>
        <w:rPr>
          <w:sz w:val="21"/>
        </w:rPr>
        <w:t>v1.1.1 — Bug fixes: no variable or output changes</w:t>
      </w:r>
    </w:p>
    <w:p>
      <w:pPr>
        <w:pStyle w:val="ListBullet"/>
        <w:spacing w:after="40"/>
        <w:ind w:left="360"/>
      </w:pPr>
      <w:r>
        <w:rPr>
          <w:sz w:val="21"/>
        </w:rPr>
        <w:t>v2.0.0 — Breaking changes: renamed variables, changed defaults, removed outputs</w:t>
      </w:r>
    </w:p>
    <w:p>
      <w:pPr>
        <w:pStyle w:val="ListBullet"/>
        <w:spacing w:after="40"/>
        <w:ind w:left="360"/>
      </w:pPr>
      <w:r>
        <w:rPr>
          <w:sz w:val="21"/>
        </w:rPr>
        <w:t>Consuming stacks pin to ~&gt; 1.0 (pessimistic constraint: &gt;= 1.0, &lt; 2.0)</w:t>
      </w:r>
    </w:p>
    <w:p>
      <w:pPr>
        <w:pStyle w:val="ListBullet"/>
        <w:spacing w:after="40"/>
        <w:ind w:left="360"/>
      </w:pPr>
      <w:r>
        <w:rPr>
          <w:sz w:val="21"/>
        </w:rPr>
        <w:t>Module CHANGELOG.md must document every version's changes</w:t>
      </w:r>
    </w:p>
    <w:p>
      <w:pPr>
        <w:pStyle w:val="ListBullet"/>
        <w:spacing w:after="40"/>
        <w:ind w:left="360"/>
      </w:pPr>
      <w:r>
        <w:rPr>
          <w:sz w:val="21"/>
        </w:rPr>
        <w:t>HCP Sentinel policy enforces: source must be app.terraform.io/&lt;org&gt;/*/azurerm — no raw git paths in prod</w:t>
      </w:r>
    </w:p>
    <w:p>
      <w:pPr>
        <w:spacing w:after="80"/>
      </w:pPr>
      <w:r>
        <w:rPr>
          <w:b w:val="0"/>
          <w:sz w:val="21"/>
        </w:rPr>
        <w:br/>
        <w:t>Consuming stack pattern:</w:t>
      </w:r>
    </w:p>
    <w:p>
      <w:pPr>
        <w:spacing w:after="80"/>
        <w:ind w:left="432"/>
        <w:shd w:val="clear" w:color="auto" w:fill="F0F0F0"/>
      </w:pPr>
      <w:r>
        <w:rPr>
          <w:rFonts w:ascii="Courier New" w:hAnsi="Courier New"/>
          <w:sz w:val="18"/>
        </w:rPr>
        <w:t>module "keyvault" {</w:t>
        <w:br/>
        <w:t xml:space="preserve">  source  = "app.terraform.io/&lt;org&gt;/keyvault/azurerm"</w:t>
        <w:br/>
        <w:t xml:space="preserve">  version = "~&gt; 2.0"</w:t>
        <w:br/>
        <w:br/>
        <w:t xml:space="preserve">  name                = var.key_vault_name</w:t>
        <w:br/>
        <w:t xml:space="preserve">  resource_group_name = module.resource_group.name</w:t>
        <w:br/>
        <w:t xml:space="preserve">  location            = var.location</w:t>
        <w:br/>
        <w:t xml:space="preserve">  tenant_id           = data.azurerm_client_config.current.tenant_id</w:t>
        <w:br/>
        <w:t xml:space="preserve">  tags                = module.tags.tags</w:t>
        <w:br/>
        <w:t>}</w:t>
      </w:r>
    </w:p>
    <w:p>
      <w:r>
        <w:br w:type="page"/>
      </w:r>
    </w:p>
    <w:p>
      <w:pPr>
        <w:spacing w:before="280" w:after="80"/>
        <w:pBdr>
          <w:bottom w:val="single" w:sz="6" w:space="1" w:color="1F4E79"/>
        </w:pBdr>
      </w:pPr>
      <w:r>
        <w:rPr>
          <w:b/>
          <w:color w:val="1F4E79"/>
          <w:sz w:val="32"/>
        </w:rPr>
        <w:t>Missing Modules — Gap Analysis</w:t>
      </w:r>
    </w:p>
    <w:p>
      <w:pPr>
        <w:spacing w:after="80"/>
      </w:pPr>
      <w:r>
        <w:rPr>
          <w:b w:val="0"/>
          <w:sz w:val="21"/>
        </w:rPr>
        <w:t>The following modules are absent from the library. Teams are currently building these as ad-hoc per-resource workspaces (as seen in HCP screenshots) or inline in stacks: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Evidence of Need</w:t>
            </w:r>
          </w:p>
        </w:tc>
        <w:tc>
          <w:tcPr>
            <w:tcW w:type="dxa" w:w="3120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Priority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/>
            <w:r>
              <w:rPr>
                <w:rFonts w:ascii="Courier New" w:hAnsi="Courier New"/>
                <w:b/>
                <w:sz w:val="20"/>
              </w:rPr>
              <w:t>service_plan</w:t>
            </w:r>
          </w:p>
        </w:tc>
        <w:tc>
          <w:tcPr>
            <w:tcW w:type="dxa" w:w="3120"/>
            <w:shd w:val="clear" w:color="auto" w:fill="EBF3FB"/>
          </w:tcPr>
          <w:p>
            <w:r/>
            <w:r>
              <w:rPr>
                <w:sz w:val="20"/>
              </w:rPr>
              <w:t>function_app bundles its own plan — shared plans impossible</w:t>
            </w:r>
          </w:p>
        </w:tc>
        <w:tc>
          <w:tcPr>
            <w:tcW w:type="dxa" w:w="3120"/>
            <w:shd w:val="clear" w:color="auto" w:fill="C00000"/>
          </w:tcPr>
          <w:p>
            <w:r/>
            <w:r>
              <w:rPr>
                <w:b/>
                <w:color w:val="FFFFFF"/>
                <w:sz w:val="20"/>
              </w:rPr>
              <w:t>CRITICAL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rFonts w:ascii="Courier New" w:hAnsi="Courier New"/>
                <w:b/>
                <w:sz w:val="20"/>
              </w:rPr>
              <w:t>event_grid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20"/>
              </w:rPr>
              <w:t>terraform-azurerm-compeer-event-grid workspace in HCP screenshots</w:t>
            </w:r>
          </w:p>
        </w:tc>
        <w:tc>
          <w:tcPr>
            <w:tcW w:type="dxa" w:w="3120"/>
            <w:shd w:val="clear" w:color="auto" w:fill="BF5000"/>
          </w:tcPr>
          <w:p>
            <w:r/>
            <w:r>
              <w:rPr>
                <w:b/>
                <w:color w:val="FFFFFF"/>
                <w:sz w:val="20"/>
              </w:rPr>
              <w:t>HIGH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/>
            <w:r>
              <w:rPr>
                <w:rFonts w:ascii="Courier New" w:hAnsi="Courier New"/>
                <w:b/>
                <w:sz w:val="20"/>
              </w:rPr>
              <w:t>availability_set</w:t>
            </w:r>
          </w:p>
        </w:tc>
        <w:tc>
          <w:tcPr>
            <w:tcW w:type="dxa" w:w="3120"/>
            <w:shd w:val="clear" w:color="auto" w:fill="EBF3FB"/>
          </w:tcPr>
          <w:p>
            <w:r/>
            <w:r>
              <w:rPr>
                <w:sz w:val="20"/>
              </w:rPr>
              <w:t>terraform-azurerm-test-availabilitySet-rg workspace in HCP screenshots</w:t>
            </w:r>
          </w:p>
        </w:tc>
        <w:tc>
          <w:tcPr>
            <w:tcW w:type="dxa" w:w="3120"/>
            <w:shd w:val="clear" w:color="auto" w:fill="BF5000"/>
          </w:tcPr>
          <w:p>
            <w:r/>
            <w:r>
              <w:rPr>
                <w:b/>
                <w:color w:val="FFFFFF"/>
                <w:sz w:val="20"/>
              </w:rPr>
              <w:t>HIGH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rFonts w:ascii="Courier New" w:hAnsi="Courier New"/>
                <w:b/>
                <w:sz w:val="20"/>
              </w:rPr>
              <w:t>defender_for_cloud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20"/>
              </w:rPr>
              <w:t>AKS has microsoft_defender block not exposed; no standalone module</w:t>
            </w:r>
          </w:p>
        </w:tc>
        <w:tc>
          <w:tcPr>
            <w:tcW w:type="dxa" w:w="3120"/>
            <w:shd w:val="clear" w:color="auto" w:fill="BF5000"/>
          </w:tcPr>
          <w:p>
            <w:r/>
            <w:r>
              <w:rPr>
                <w:b/>
                <w:color w:val="FFFFFF"/>
                <w:sz w:val="20"/>
              </w:rPr>
              <w:t>HIGH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/>
            <w:r>
              <w:rPr>
                <w:rFonts w:ascii="Courier New" w:hAnsi="Courier New"/>
                <w:b/>
                <w:sz w:val="20"/>
              </w:rPr>
              <w:t>monitor_alert_rule</w:t>
            </w:r>
          </w:p>
        </w:tc>
        <w:tc>
          <w:tcPr>
            <w:tcW w:type="dxa" w:w="3120"/>
            <w:shd w:val="clear" w:color="auto" w:fill="EBF3FB"/>
          </w:tcPr>
          <w:p>
            <w:r/>
            <w:r>
              <w:rPr>
                <w:sz w:val="20"/>
              </w:rPr>
              <w:t>action-group exists but no alert rule module — teams write inline</w:t>
            </w:r>
          </w:p>
        </w:tc>
        <w:tc>
          <w:tcPr>
            <w:tcW w:type="dxa" w:w="3120"/>
            <w:shd w:val="clear" w:color="auto" w:fill="BF5000"/>
          </w:tcPr>
          <w:p>
            <w:r/>
            <w:r>
              <w:rPr>
                <w:b/>
                <w:color w:val="FFFFFF"/>
                <w:sz w:val="20"/>
              </w:rPr>
              <w:t>HIGH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rFonts w:ascii="Courier New" w:hAnsi="Courier New"/>
                <w:b/>
                <w:sz w:val="20"/>
              </w:rPr>
              <w:t>windows_function_app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20"/>
              </w:rPr>
              <w:t>Separate HCP workspace created because function_app is Linux-only</w:t>
            </w:r>
          </w:p>
        </w:tc>
        <w:tc>
          <w:tcPr>
            <w:tcW w:type="dxa" w:w="3120"/>
            <w:shd w:val="clear" w:color="auto" w:fill="BF5000"/>
          </w:tcPr>
          <w:p>
            <w:r/>
            <w:r>
              <w:rPr>
                <w:b/>
                <w:color w:val="FFFFFF"/>
                <w:sz w:val="20"/>
              </w:rPr>
              <w:t>HIGH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/>
            <w:r>
              <w:rPr>
                <w:rFonts w:ascii="Courier New" w:hAnsi="Courier New"/>
                <w:b/>
                <w:sz w:val="20"/>
              </w:rPr>
              <w:t>data_factory</w:t>
            </w:r>
          </w:p>
        </w:tc>
        <w:tc>
          <w:tcPr>
            <w:tcW w:type="dxa" w:w="3120"/>
            <w:shd w:val="clear" w:color="auto" w:fill="EBF3FB"/>
          </w:tcPr>
          <w:p>
            <w:r/>
            <w:r>
              <w:rPr>
                <w:sz w:val="20"/>
              </w:rPr>
              <w:t>Common in finserv data pipelines; no module exists</w:t>
            </w:r>
          </w:p>
        </w:tc>
        <w:tc>
          <w:tcPr>
            <w:tcW w:type="dxa" w:w="3120"/>
            <w:shd w:val="clear" w:color="auto" w:fill="BF5000"/>
          </w:tcPr>
          <w:p>
            <w:r/>
            <w:r>
              <w:rPr>
                <w:b/>
                <w:color w:val="FFFFFF"/>
                <w:sz w:val="20"/>
              </w:rPr>
              <w:t>HIGH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rFonts w:ascii="Courier New" w:hAnsi="Courier New"/>
                <w:b/>
                <w:sz w:val="20"/>
              </w:rPr>
              <w:t>api_management_product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20"/>
              </w:rPr>
              <w:t>APIM products/subscriptions not covered by apim module</w:t>
            </w:r>
          </w:p>
        </w:tc>
        <w:tc>
          <w:tcPr>
            <w:tcW w:type="dxa" w:w="3120"/>
            <w:shd w:val="clear" w:color="auto" w:fill="4472C4"/>
          </w:tcPr>
          <w:p>
            <w:r/>
            <w:r>
              <w:rPr>
                <w:b/>
                <w:color w:val="FFFFFF"/>
                <w:sz w:val="20"/>
              </w:rPr>
              <w:t>MEDIUM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/>
            <w:r>
              <w:rPr>
                <w:rFonts w:ascii="Courier New" w:hAnsi="Courier New"/>
                <w:b/>
                <w:sz w:val="20"/>
              </w:rPr>
              <w:t>express_route_gateway</w:t>
            </w:r>
          </w:p>
        </w:tc>
        <w:tc>
          <w:tcPr>
            <w:tcW w:type="dxa" w:w="3120"/>
            <w:shd w:val="clear" w:color="auto" w:fill="EBF3FB"/>
          </w:tcPr>
          <w:p>
            <w:r/>
            <w:r>
              <w:rPr>
                <w:sz w:val="20"/>
              </w:rPr>
              <w:t>GatewaySubnet pre-provisioned in hub but no gateway module</w:t>
            </w:r>
          </w:p>
        </w:tc>
        <w:tc>
          <w:tcPr>
            <w:tcW w:type="dxa" w:w="3120"/>
            <w:shd w:val="clear" w:color="auto" w:fill="4472C4"/>
          </w:tcPr>
          <w:p>
            <w:r/>
            <w:r>
              <w:rPr>
                <w:b/>
                <w:color w:val="FFFFFF"/>
                <w:sz w:val="20"/>
              </w:rPr>
              <w:t>MEDIUM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rFonts w:ascii="Courier New" w:hAnsi="Courier New"/>
                <w:b/>
                <w:sz w:val="20"/>
              </w:rPr>
              <w:t>vm_extension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20"/>
              </w:rPr>
              <w:t>OMS agent, AAD login, custom script extensions added inline by callers</w:t>
            </w:r>
          </w:p>
        </w:tc>
        <w:tc>
          <w:tcPr>
            <w:tcW w:type="dxa" w:w="3120"/>
            <w:shd w:val="clear" w:color="auto" w:fill="4472C4"/>
          </w:tcPr>
          <w:p>
            <w:r/>
            <w:r>
              <w:rPr>
                <w:b/>
                <w:color w:val="FFFFFF"/>
                <w:sz w:val="20"/>
              </w:rPr>
              <w:t>MEDIUM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/>
            <w:r>
              <w:rPr>
                <w:rFonts w:ascii="Courier New" w:hAnsi="Courier New"/>
                <w:b/>
                <w:sz w:val="20"/>
              </w:rPr>
              <w:t>policy_exemption</w:t>
            </w:r>
          </w:p>
        </w:tc>
        <w:tc>
          <w:tcPr>
            <w:tcW w:type="dxa" w:w="3120"/>
            <w:shd w:val="clear" w:color="auto" w:fill="EBF3FB"/>
          </w:tcPr>
          <w:p>
            <w:r/>
            <w:r>
              <w:rPr>
                <w:sz w:val="20"/>
              </w:rPr>
              <w:t>exemptions.tf exists in policy stack but no reusable module</w:t>
            </w:r>
          </w:p>
        </w:tc>
        <w:tc>
          <w:tcPr>
            <w:tcW w:type="dxa" w:w="3120"/>
            <w:shd w:val="clear" w:color="auto" w:fill="4472C4"/>
          </w:tcPr>
          <w:p>
            <w:r/>
            <w:r>
              <w:rPr>
                <w:b/>
                <w:color w:val="FFFFFF"/>
                <w:sz w:val="20"/>
              </w:rPr>
              <w:t>MEDIUM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rFonts w:ascii="Courier New" w:hAnsi="Courier New"/>
                <w:b/>
                <w:sz w:val="20"/>
              </w:rPr>
              <w:t>application_insights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20"/>
              </w:rPr>
              <w:t>terraform-azurerm-compeer-application-insights in HCP screenshots</w:t>
            </w:r>
          </w:p>
        </w:tc>
        <w:tc>
          <w:tcPr>
            <w:tcW w:type="dxa" w:w="3120"/>
            <w:shd w:val="clear" w:color="auto" w:fill="4472C4"/>
          </w:tcPr>
          <w:p>
            <w:r/>
            <w:r>
              <w:rPr>
                <w:b/>
                <w:color w:val="FFFFFF"/>
                <w:sz w:val="20"/>
              </w:rPr>
              <w:t>MEDIUM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/>
            <w:r>
              <w:rPr>
                <w:rFonts w:ascii="Courier New" w:hAnsi="Courier New"/>
                <w:b/>
                <w:sz w:val="20"/>
              </w:rPr>
              <w:t>virtual_wan</w:t>
            </w:r>
          </w:p>
        </w:tc>
        <w:tc>
          <w:tcPr>
            <w:tcW w:type="dxa" w:w="3120"/>
            <w:shd w:val="clear" w:color="auto" w:fill="EBF3FB"/>
          </w:tcPr>
          <w:p>
            <w:r/>
            <w:r>
              <w:rPr>
                <w:sz w:val="20"/>
              </w:rPr>
              <w:t>Enterprise-scale connectivity; no module if client expands</w:t>
            </w:r>
          </w:p>
        </w:tc>
        <w:tc>
          <w:tcPr>
            <w:tcW w:type="dxa" w:w="3120"/>
            <w:shd w:val="clear" w:color="auto" w:fill="4472C4"/>
          </w:tcPr>
          <w:p>
            <w:r/>
            <w:r>
              <w:rPr>
                <w:b/>
                <w:color w:val="FFFFFF"/>
                <w:sz w:val="20"/>
              </w:rPr>
              <w:t>LOW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/>
            <w:r>
              <w:rPr>
                <w:rFonts w:ascii="Courier New" w:hAnsi="Courier New"/>
                <w:b/>
                <w:sz w:val="20"/>
              </w:rPr>
              <w:t>ddos_protection_plan</w:t>
            </w:r>
          </w:p>
        </w:tc>
        <w:tc>
          <w:tcPr>
            <w:tcW w:type="dxa" w:w="3120"/>
            <w:shd w:val="clear" w:color="auto" w:fill="FFFFFF"/>
          </w:tcPr>
          <w:p>
            <w:r/>
            <w:r>
              <w:rPr>
                <w:sz w:val="20"/>
              </w:rPr>
              <w:t>vnet-hub has ddos_protection_plan_id variable but no plan creation module</w:t>
            </w:r>
          </w:p>
        </w:tc>
        <w:tc>
          <w:tcPr>
            <w:tcW w:type="dxa" w:w="3120"/>
            <w:shd w:val="clear" w:color="auto" w:fill="4472C4"/>
          </w:tcPr>
          <w:p>
            <w:r/>
            <w:r>
              <w:rPr>
                <w:b/>
                <w:color w:val="FFFFFF"/>
                <w:sz w:val="20"/>
              </w:rPr>
              <w:t>LOW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1F4E79"/>
        </w:pBdr>
      </w:pPr>
      <w:r>
        <w:rPr>
          <w:b/>
          <w:color w:val="1F4E79"/>
          <w:sz w:val="32"/>
        </w:rPr>
        <w:t>Remediation Roadmap</w:t>
      </w:r>
    </w:p>
    <w:p>
      <w:pPr>
        <w:spacing w:after="80"/>
      </w:pPr>
      <w:r>
        <w:rPr>
          <w:b w:val="0"/>
          <w:sz w:val="21"/>
        </w:rPr>
        <w:t>Prioritized action plan to achieve enterprise reusability and eliminate drift: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Action</w:t>
            </w:r>
          </w:p>
        </w:tc>
        <w:tc>
          <w:tcPr>
            <w:tcW w:type="dxa" w:w="3600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Affected Modules / Stacks</w:t>
            </w:r>
          </w:p>
        </w:tc>
        <w:tc>
          <w:tcPr>
            <w:tcW w:type="dxa" w:w="2736"/>
            <w:shd w:val="clear" w:color="auto" w:fill="1F4E79"/>
          </w:tcPr>
          <w:p>
            <w:r/>
            <w:r>
              <w:rPr>
                <w:b/>
                <w:color w:val="FFFFFF"/>
                <w:sz w:val="21"/>
              </w:rPr>
              <w:t>Timeline</w:t>
            </w:r>
          </w:p>
        </w:tc>
      </w:tr>
      <w:tr>
        <w:tc>
          <w:tcPr>
            <w:tcW w:type="dxa" w:w="2340"/>
            <w:shd w:val="clear" w:color="auto" w:fill="C00000"/>
          </w:tcPr>
          <w:p>
            <w:r/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STOP: Freeze new per-resource HCP workspace creation. All new infra uses stacks.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rFonts w:ascii="Courier New" w:hAnsi="Courier New"/>
                <w:sz w:val="20"/>
              </w:rPr>
              <w:t>All HCP workspaces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Immediate</w:t>
            </w:r>
          </w:p>
        </w:tc>
      </w:tr>
      <w:tr>
        <w:tc>
          <w:tcPr>
            <w:tcW w:type="dxa" w:w="2340"/>
            <w:shd w:val="clear" w:color="auto" w:fill="C00000"/>
          </w:tcPr>
          <w:p>
            <w:r/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FIX naming module: add keepers to random_string, expand to 20+ resource types, move outputs to outputs.tf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rFonts w:ascii="Courier New" w:hAnsi="Courier New"/>
                <w:sz w:val="20"/>
              </w:rPr>
              <w:t>naming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Sprint 1</w:t>
            </w:r>
          </w:p>
        </w:tc>
      </w:tr>
      <w:tr>
        <w:tc>
          <w:tcPr>
            <w:tcW w:type="dxa" w:w="2340"/>
            <w:shd w:val="clear" w:color="auto" w:fill="C00000"/>
          </w:tcPr>
          <w:p>
            <w:r/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REWRITE function_app: multi-OS (Linux/Windows), multi-runtime (python/node/dotnet/java/powershell), decouple service_plan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rFonts w:ascii="Courier New" w:hAnsi="Courier New"/>
                <w:sz w:val="20"/>
              </w:rPr>
              <w:t>function_app, + new service_plan module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Sprint 1</w:t>
            </w:r>
          </w:p>
        </w:tc>
      </w:tr>
      <w:tr>
        <w:tc>
          <w:tcPr>
            <w:tcW w:type="dxa" w:w="2340"/>
            <w:shd w:val="clear" w:color="auto" w:fill="BF5000"/>
          </w:tcPr>
          <w:p>
            <w:r/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FIX apim: replace file() with api_spec_content variable. Add api_content_format, custom_domain, products.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rFonts w:ascii="Courier New" w:hAnsi="Courier New"/>
                <w:sz w:val="20"/>
              </w:rPr>
              <w:t>apim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Sprint 1</w:t>
            </w:r>
          </w:p>
        </w:tc>
      </w:tr>
      <w:tr>
        <w:tc>
          <w:tcPr>
            <w:tcW w:type="dxa" w:w="2340"/>
            <w:shd w:val="clear" w:color="auto" w:fill="BF5000"/>
          </w:tcPr>
          <w:p>
            <w:r/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FIX vnet-spoke: remove overlapping default CIDRs. Add hub firewall UDR support.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rFonts w:ascii="Courier New" w:hAnsi="Courier New"/>
                <w:sz w:val="20"/>
              </w:rPr>
              <w:t>vnet-spoke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Sprint 1</w:t>
            </w:r>
          </w:p>
        </w:tc>
      </w:tr>
      <w:tr>
        <w:tc>
          <w:tcPr>
            <w:tcW w:type="dxa" w:w="2340"/>
            <w:shd w:val="clear" w:color="auto" w:fill="BF5000"/>
          </w:tcPr>
          <w:p>
            <w:r/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FIX storage: change shared_access_key_enabled default to false. Add CMK block.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rFonts w:ascii="Courier New" w:hAnsi="Courier New"/>
                <w:sz w:val="20"/>
              </w:rPr>
              <w:t>storage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Sprint 1</w:t>
            </w:r>
          </w:p>
        </w:tc>
      </w:tr>
      <w:tr>
        <w:tc>
          <w:tcPr>
            <w:tcW w:type="dxa" w:w="2340"/>
            <w:shd w:val="clear" w:color="auto" w:fill="BF5000"/>
          </w:tcPr>
          <w:p>
            <w:r/>
            <w:r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ADD versions.tf to all 30+ modules with azurerm ~&gt; 4.0 and azapi ~&gt; 2.3 where needed.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rFonts w:ascii="Courier New" w:hAnsi="Courier New"/>
                <w:sz w:val="20"/>
              </w:rPr>
              <w:t>All modules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Sprint 1</w:t>
            </w:r>
          </w:p>
        </w:tc>
      </w:tr>
      <w:tr>
        <w:tc>
          <w:tcPr>
            <w:tcW w:type="dxa" w:w="2340"/>
            <w:shd w:val="clear" w:color="auto" w:fill="BF5000"/>
          </w:tcPr>
          <w:p>
            <w:r/>
            <w:r>
              <w:rPr>
                <w:b/>
                <w:color w:val="FFFFFF"/>
                <w:sz w:val="20"/>
              </w:rPr>
              <w:t>8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ADD outputs.tf to diagnostics-1 and private-endpoint modules.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rFonts w:ascii="Courier New" w:hAnsi="Courier New"/>
                <w:sz w:val="20"/>
              </w:rPr>
              <w:t>diagnostics-1, private-endpoint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Sprint 1</w:t>
            </w:r>
          </w:p>
        </w:tc>
      </w:tr>
      <w:tr>
        <w:tc>
          <w:tcPr>
            <w:tcW w:type="dxa" w:w="2340"/>
            <w:shd w:val="clear" w:color="auto" w:fill="BF5000"/>
          </w:tcPr>
          <w:p>
            <w:r/>
            <w:r>
              <w:rPr>
                <w:b/>
                <w:color w:val="FFFFFF"/>
                <w:sz w:val="20"/>
              </w:rPr>
              <w:t>9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MERGE log-analytics and observability into single observability module.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rFonts w:ascii="Courier New" w:hAnsi="Courier New"/>
                <w:sz w:val="20"/>
              </w:rPr>
              <w:t>log-analytics, observability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Sprint 2</w:t>
            </w:r>
          </w:p>
        </w:tc>
      </w:tr>
      <w:tr>
        <w:tc>
          <w:tcPr>
            <w:tcW w:type="dxa" w:w="2340"/>
            <w:shd w:val="clear" w:color="auto" w:fill="BF5000"/>
          </w:tcPr>
          <w:p>
            <w:r/>
            <w:r>
              <w:rPr>
                <w:b/>
                <w:color w:val="FFFFFF"/>
                <w:sz w:val="20"/>
              </w:rPr>
              <w:t>10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FIX global stacks: remove hardcoded subscription IDs and env-specific defaults.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rFonts w:ascii="Courier New" w:hAnsi="Courier New"/>
                <w:sz w:val="20"/>
              </w:rPr>
              <w:t>global/* stacks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Sprint 2</w:t>
            </w:r>
          </w:p>
        </w:tc>
      </w:tr>
      <w:tr>
        <w:tc>
          <w:tcPr>
            <w:tcW w:type="dxa" w:w="2340"/>
            <w:shd w:val="clear" w:color="auto" w:fill="BF5000"/>
          </w:tcPr>
          <w:p>
            <w:r/>
            <w:r>
              <w:rPr>
                <w:b/>
                <w:color w:val="FFFFFF"/>
                <w:sz w:val="20"/>
              </w:rPr>
              <w:t>11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PUBLISH first 15 stable modules to HCP Private Registry at v1.0.0.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rFonts w:ascii="Courier New" w:hAnsi="Courier New"/>
                <w:sz w:val="20"/>
              </w:rPr>
              <w:t>network, vnet-hub, aks, keyvault, storage, service-bus, platform-tags, role-assignments, bastion, nat-gateway, private-dns, user-assigned-identity, state-storage, resource_group, management_groups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Sprint 2</w:t>
            </w:r>
          </w:p>
        </w:tc>
      </w:tr>
      <w:tr>
        <w:tc>
          <w:tcPr>
            <w:tcW w:type="dxa" w:w="2340"/>
            <w:shd w:val="clear" w:color="auto" w:fill="BF5000"/>
          </w:tcPr>
          <w:p>
            <w:r/>
            <w:r>
              <w:rPr>
                <w:b/>
                <w:color w:val="FFFFFF"/>
                <w:sz w:val="20"/>
              </w:rPr>
              <w:t>12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CREATE service_plan module. CREATE event_grid module. CREATE availability_set module.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rFonts w:ascii="Courier New" w:hAnsi="Courier New"/>
                <w:sz w:val="20"/>
              </w:rPr>
              <w:t>New modules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Sprint 2</w:t>
            </w:r>
          </w:p>
        </w:tc>
      </w:tr>
      <w:tr>
        <w:tc>
          <w:tcPr>
            <w:tcW w:type="dxa" w:w="2340"/>
            <w:shd w:val="clear" w:color="auto" w:fill="BF5000"/>
          </w:tcPr>
          <w:p>
            <w:r/>
            <w:r>
              <w:rPr>
                <w:b/>
                <w:color w:val="FFFFFF"/>
                <w:sz w:val="20"/>
              </w:rPr>
              <w:t>13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MIGRATE per-resource HCP workspaces into proper stacks using terraform state mv.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rFonts w:ascii="Courier New" w:hAnsi="Courier New"/>
                <w:sz w:val="20"/>
              </w:rPr>
              <w:t>All legacy workspaces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Sprint 3</w:t>
            </w:r>
          </w:p>
        </w:tc>
      </w:tr>
      <w:tr>
        <w:tc>
          <w:tcPr>
            <w:tcW w:type="dxa" w:w="2340"/>
            <w:shd w:val="clear" w:color="auto" w:fill="4472C4"/>
          </w:tcPr>
          <w:p>
            <w:r/>
            <w:r>
              <w:rPr>
                <w:b/>
                <w:color w:val="FFFFFF"/>
                <w:sz w:val="20"/>
              </w:rPr>
              <w:t>14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ADD CI/CD gates: fmt-check, validate, tflint, checkov, terraform test on all module PRs.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rFonts w:ascii="Courier New" w:hAnsi="Courier New"/>
                <w:sz w:val="20"/>
              </w:rPr>
              <w:t>Module library repo CI/CD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Sprint 3</w:t>
            </w:r>
          </w:p>
        </w:tc>
      </w:tr>
      <w:tr>
        <w:tc>
          <w:tcPr>
            <w:tcW w:type="dxa" w:w="2340"/>
            <w:shd w:val="clear" w:color="auto" w:fill="4472C4"/>
          </w:tcPr>
          <w:p>
            <w:r/>
            <w:r>
              <w:rPr>
                <w:b/>
                <w:color w:val="FFFFFF"/>
                <w:sz w:val="20"/>
              </w:rPr>
              <w:t>15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FIX sql-database: typed databases object, TDE CMK block, firewall_rules variable.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rFonts w:ascii="Courier New" w:hAnsi="Courier New"/>
                <w:sz w:val="20"/>
              </w:rPr>
              <w:t>sql-database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Sprint 3</w:t>
            </w:r>
          </w:p>
        </w:tc>
      </w:tr>
      <w:tr>
        <w:tc>
          <w:tcPr>
            <w:tcW w:type="dxa" w:w="2340"/>
            <w:shd w:val="clear" w:color="auto" w:fill="4472C4"/>
          </w:tcPr>
          <w:p>
            <w:r/>
            <w:r>
              <w:rPr>
                <w:b/>
                <w:color w:val="FFFFFF"/>
                <w:sz w:val="20"/>
              </w:rPr>
              <w:t>16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FIX aks: add sku_tier variable, additional_node_pools, UserAssigned identity, microsoft_defender.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rFonts w:ascii="Courier New" w:hAnsi="Courier New"/>
                <w:sz w:val="20"/>
              </w:rPr>
              <w:t>aks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Sprint 3</w:t>
            </w:r>
          </w:p>
        </w:tc>
      </w:tr>
      <w:tr>
        <w:tc>
          <w:tcPr>
            <w:tcW w:type="dxa" w:w="2340"/>
            <w:shd w:val="clear" w:color="auto" w:fill="4472C4"/>
          </w:tcPr>
          <w:p>
            <w:r/>
            <w:r>
              <w:rPr>
                <w:b/>
                <w:color w:val="FFFFFF"/>
                <w:sz w:val="20"/>
              </w:rPr>
              <w:t>17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FIX cosmosdb: precondition on vnet filter, sql_databases optional block, network_acl_ip_rules.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rFonts w:ascii="Courier New" w:hAnsi="Courier New"/>
                <w:sz w:val="20"/>
              </w:rPr>
              <w:t>cosmosdb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Sprint 3</w:t>
            </w:r>
          </w:p>
        </w:tc>
      </w:tr>
      <w:tr>
        <w:tc>
          <w:tcPr>
            <w:tcW w:type="dxa" w:w="2340"/>
            <w:shd w:val="clear" w:color="auto" w:fill="4472C4"/>
          </w:tcPr>
          <w:p>
            <w:r/>
            <w:r>
              <w:rPr>
                <w:b/>
                <w:color w:val="FFFFFF"/>
                <w:sz w:val="20"/>
              </w:rPr>
              <w:t>18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CREATE defender_for_cloud, monitor_alert_rule, vm_extension, data_factory modules.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rFonts w:ascii="Courier New" w:hAnsi="Courier New"/>
                <w:sz w:val="20"/>
              </w:rPr>
              <w:t>New modules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Sprint 4</w:t>
            </w:r>
          </w:p>
        </w:tc>
      </w:tr>
      <w:tr>
        <w:tc>
          <w:tcPr>
            <w:tcW w:type="dxa" w:w="2340"/>
            <w:shd w:val="clear" w:color="auto" w:fill="4472C4"/>
          </w:tcPr>
          <w:p>
            <w:r/>
            <w:r>
              <w:rPr>
                <w:b/>
                <w:color w:val="FFFFFF"/>
                <w:sz w:val="20"/>
              </w:rPr>
              <w:t>19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sz w:val="20"/>
              </w:rPr>
              <w:t>ENFORCE HCP Sentinel policy: module source must be private registry — no raw git paths.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rFonts w:ascii="Courier New" w:hAnsi="Courier New"/>
                <w:sz w:val="20"/>
              </w:rPr>
              <w:t>HCP Org settings</w:t>
            </w:r>
          </w:p>
        </w:tc>
        <w:tc>
          <w:tcPr>
            <w:tcW w:type="dxa" w:w="2340"/>
            <w:shd w:val="clear" w:color="auto" w:fill="EBF3FB"/>
          </w:tcPr>
          <w:p>
            <w:r/>
            <w:r>
              <w:rPr>
                <w:b/>
                <w:sz w:val="20"/>
              </w:rPr>
              <w:t>Sprint 4</w:t>
            </w:r>
          </w:p>
        </w:tc>
      </w:tr>
      <w:tr>
        <w:tc>
          <w:tcPr>
            <w:tcW w:type="dxa" w:w="2340"/>
            <w:shd w:val="clear" w:color="auto" w:fill="4472C4"/>
          </w:tcPr>
          <w:p>
            <w:r/>
            <w:r>
              <w:rPr>
                <w:b/>
                <w:color w:val="FFFFFF"/>
                <w:sz w:val="20"/>
              </w:rPr>
              <w:t>20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sz w:val="20"/>
              </w:rPr>
              <w:t>ADD README.md examples (simple + complex) to all published modules. Standardize variable descriptions.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rFonts w:ascii="Courier New" w:hAnsi="Courier New"/>
                <w:sz w:val="20"/>
              </w:rPr>
              <w:t>All modules</w:t>
            </w:r>
          </w:p>
        </w:tc>
        <w:tc>
          <w:tcPr>
            <w:tcW w:type="dxa" w:w="2340"/>
            <w:shd w:val="clear" w:color="auto" w:fill="FFFFFF"/>
          </w:tcPr>
          <w:p>
            <w:r/>
            <w:r>
              <w:rPr>
                <w:b/>
                <w:sz w:val="20"/>
              </w:rPr>
              <w:t>Sprint 4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1F4E79"/>
        </w:pBdr>
      </w:pPr>
      <w:r>
        <w:rPr>
          <w:b/>
          <w:color w:val="1F4E79"/>
          <w:sz w:val="32"/>
        </w:rPr>
        <w:t>Conclusion</w:t>
      </w:r>
    </w:p>
    <w:p>
      <w:pPr>
        <w:spacing w:after="80"/>
      </w:pPr>
      <w:r>
        <w:rPr>
          <w:b w:val="0"/>
          <w:sz w:val="21"/>
        </w:rPr>
        <w:t>The Azure Enterprise Terraform module library is architecturally sound. The security defaults, lifecycle preconditions, tagging strategy, and hub-and-spoke networking are enterprise-grade. The finserv-api workload stack is a reference-quality composition pattern that all teams should replicate.</w:t>
        <w:br/>
        <w:br/>
        <w:t>The drift and reusability problems are not caused by bad module design — they are caused by a structural mismatch between the module library and how HCP workspaces are being used. Per-resource workspaces bypass the module library entirely, creating isolated resource islands that cannot enforce standards or share state.</w:t>
        <w:br/>
        <w:br/>
        <w:t>The path forward is clear:</w:t>
      </w:r>
    </w:p>
    <w:p>
      <w:pPr>
        <w:pStyle w:val="ListBullet"/>
        <w:spacing w:after="80"/>
      </w:pPr>
      <w:r>
        <w:rPr>
          <w:b/>
          <w:color w:val="C00000"/>
          <w:sz w:val="22"/>
        </w:rPr>
        <w:t xml:space="preserve">Stop: </w:t>
      </w:r>
      <w:r>
        <w:rPr>
          <w:sz w:val="22"/>
        </w:rPr>
        <w:t>creating per-resource HCP workspaces — immediately</w:t>
      </w:r>
    </w:p>
    <w:p>
      <w:pPr>
        <w:pStyle w:val="ListBullet"/>
        <w:spacing w:after="80"/>
      </w:pPr>
      <w:r>
        <w:rPr>
          <w:b/>
          <w:color w:val="375A10"/>
          <w:sz w:val="22"/>
        </w:rPr>
        <w:t xml:space="preserve">Publish: </w:t>
      </w:r>
      <w:r>
        <w:rPr>
          <w:sz w:val="22"/>
        </w:rPr>
        <w:t>the existing module library to HCP Private Registry with v1.0.0 tags</w:t>
      </w:r>
    </w:p>
    <w:p>
      <w:pPr>
        <w:pStyle w:val="ListBullet"/>
        <w:spacing w:after="80"/>
      </w:pPr>
      <w:r>
        <w:rPr>
          <w:b/>
          <w:color w:val="BF5000"/>
          <w:sz w:val="22"/>
        </w:rPr>
        <w:t xml:space="preserve">Migrate: </w:t>
      </w:r>
      <w:r>
        <w:rPr>
          <w:sz w:val="22"/>
        </w:rPr>
        <w:t>legacy per-resource workspaces into proper stacks using terraform state mv</w:t>
      </w:r>
    </w:p>
    <w:p>
      <w:pPr>
        <w:pStyle w:val="ListBullet"/>
        <w:spacing w:after="80"/>
      </w:pPr>
      <w:r>
        <w:rPr>
          <w:b/>
          <w:color w:val="BF5000"/>
          <w:sz w:val="22"/>
        </w:rPr>
        <w:t xml:space="preserve">Fix: </w:t>
      </w:r>
      <w:r>
        <w:rPr>
          <w:sz w:val="22"/>
        </w:rPr>
        <w:t>the 6 critical module issues (naming, function_app, apim, vnet-spoke, storage, global stacks)</w:t>
      </w:r>
    </w:p>
    <w:p>
      <w:pPr>
        <w:pStyle w:val="ListBullet"/>
        <w:spacing w:after="80"/>
      </w:pPr>
      <w:r>
        <w:rPr>
          <w:b/>
          <w:color w:val="0070C0"/>
          <w:sz w:val="22"/>
        </w:rPr>
        <w:t xml:space="preserve">Create: </w:t>
      </w:r>
      <w:r>
        <w:rPr>
          <w:sz w:val="22"/>
        </w:rPr>
        <w:t>missing modules: service_plan, event_grid, availability_set, defender_for_cloud</w:t>
      </w:r>
    </w:p>
    <w:p>
      <w:pPr>
        <w:pStyle w:val="ListBullet"/>
        <w:spacing w:after="80"/>
      </w:pPr>
      <w:r>
        <w:rPr>
          <w:b/>
          <w:color w:val="0070C0"/>
          <w:sz w:val="22"/>
        </w:rPr>
        <w:t xml:space="preserve">Enforce: </w:t>
      </w:r>
      <w:r>
        <w:rPr>
          <w:sz w:val="22"/>
        </w:rPr>
        <w:t>HCP Sentinel policies so all production stacks must use the private registry</w:t>
      </w:r>
    </w:p>
    <w:p/>
    <w:p>
      <w:pPr>
        <w:spacing w:after="80"/>
      </w:pPr>
      <w:r>
        <w:rPr>
          <w:b/>
          <w:color w:val="1F4E79"/>
          <w:sz w:val="21"/>
        </w:rPr>
        <w:t>With these changes, HCP workspace runs will be deterministic, cross-team module consumption will require only a version pin, and infrastructure drift will be structurally prevented rather than reactively chased.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