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E79"/>
          <w:sz w:val="56"/>
        </w:rPr>
        <w:t>Compeer</w:t>
      </w:r>
    </w:p>
    <w:p>
      <w:pPr>
        <w:jc w:val="center"/>
      </w:pPr>
      <w:r>
        <w:rPr>
          <w:b/>
          <w:color w:val="1F4E79"/>
          <w:sz w:val="44"/>
        </w:rPr>
        <w:t>Module Architecture &amp; Enterprise Reusability</w:t>
      </w:r>
    </w:p>
    <w:p/>
    <w:p>
      <w:pPr>
        <w:jc w:val="center"/>
      </w:pPr>
      <w:r>
        <w:rPr>
          <w:i/>
          <w:color w:val="595959"/>
          <w:sz w:val="24"/>
        </w:rPr>
        <w:t>Technical Review  |  April 2026  |  HCP Terraform &amp; Azure Platform</w:t>
      </w:r>
    </w:p>
    <w:p/>
    <w:p>
      <w:pPr>
        <w:jc w:val="center"/>
      </w:pPr>
      <w:r>
        <w:rPr>
          <w:i/>
          <w:color w:val="898989"/>
          <w:sz w:val="19"/>
        </w:rPr>
        <w:t>Review scope: all modules visible in Compeer HCP Terraform workspace screenshots</w:t>
        <w:br/>
        <w:t>Sources: HCP workspace code views + azure-pipelines.yml observations from screenshots</w:t>
      </w:r>
    </w:p>
    <w:p>
      <w:r>
        <w:br w:type="page"/>
      </w:r>
    </w:p>
    <w:p>
      <w:pPr>
        <w:spacing w:before="280" w:after="80"/>
        <w:pBdr>
          <w:bottom w:val="single" w:sz="6" w:space="1" w:color="1F4E79"/>
        </w:pBdr>
      </w:pPr>
      <w:r>
        <w:rPr>
          <w:b/>
          <w:color w:val="1F4E79"/>
          <w:sz w:val="32"/>
        </w:rPr>
        <w:t>Executive Summary</w:t>
      </w:r>
    </w:p>
    <w:p>
      <w:pPr>
        <w:spacing w:after="80"/>
      </w:pPr>
      <w:r>
        <w:rPr>
          <w:b w:val="0"/>
          <w:sz w:val="21"/>
        </w:rPr>
        <w:t>Compeer's module strategy is well-structured for enterprise reusability but requires targeted fixes before modules can be safely published to HCP registry and consumed across teams. Current state:</w:t>
      </w:r>
    </w:p>
    <w:p>
      <w:pPr>
        <w:pStyle w:val="ListBullet"/>
        <w:spacing w:after="40"/>
      </w:pPr>
      <w:r>
        <w:rPr>
          <w:sz w:val="21"/>
        </w:rPr>
        <w:t xml:space="preserve">Distributed repo pattern (separate repos per module) — </w:t>
      </w:r>
      <w:r>
        <w:rPr>
          <w:b/>
          <w:color w:val="375A10"/>
          <w:sz w:val="21"/>
        </w:rPr>
        <w:t>GOOD</w:t>
      </w:r>
    </w:p>
    <w:p>
      <w:pPr>
        <w:pStyle w:val="ListBullet"/>
        <w:spacing w:after="40"/>
      </w:pPr>
      <w:r>
        <w:rPr>
          <w:sz w:val="21"/>
        </w:rPr>
        <w:t xml:space="preserve">Proper module structure visible: main.tf, variables.tf, outputs.tf, versions.tf, azure-pipelines.yml, README.md present — </w:t>
      </w:r>
      <w:r>
        <w:rPr>
          <w:b/>
          <w:color w:val="375A10"/>
          <w:sz w:val="21"/>
        </w:rPr>
        <w:t>GOOD</w:t>
      </w:r>
    </w:p>
    <w:p>
      <w:pPr>
        <w:pStyle w:val="ListBullet"/>
        <w:spacing w:after="40"/>
      </w:pPr>
      <w:r>
        <w:rPr>
          <w:sz w:val="21"/>
        </w:rPr>
        <w:t xml:space="preserve">Event Grid module has dedicated event_topics.tf and event_subscription.tf — </w:t>
      </w:r>
      <w:r>
        <w:rPr>
          <w:b/>
          <w:color w:val="375A10"/>
          <w:sz w:val="21"/>
        </w:rPr>
        <w:t>GOOD</w:t>
      </w:r>
    </w:p>
    <w:p>
      <w:pPr>
        <w:pStyle w:val="ListBullet"/>
        <w:spacing w:after="40"/>
      </w:pPr>
      <w:r>
        <w:rPr>
          <w:sz w:val="21"/>
        </w:rPr>
        <w:t xml:space="preserve">Storage Account module is the most comprehensive: containers, queues, tables, fileShares, lifecycle all covered — </w:t>
      </w:r>
      <w:r>
        <w:rPr>
          <w:b/>
          <w:color w:val="375A10"/>
          <w:sz w:val="21"/>
        </w:rPr>
        <w:t>GOOD</w:t>
      </w:r>
    </w:p>
    <w:p>
      <w:pPr>
        <w:pStyle w:val="ListBullet"/>
        <w:spacing w:after="40"/>
      </w:pPr>
      <w:r>
        <w:rPr>
          <w:sz w:val="21"/>
        </w:rPr>
        <w:t xml:space="preserve">VNet Peering module exposes all 4 peering flags as variables — </w:t>
      </w:r>
      <w:r>
        <w:rPr>
          <w:b/>
          <w:color w:val="375A10"/>
          <w:sz w:val="21"/>
        </w:rPr>
        <w:t>GOOD</w:t>
      </w:r>
    </w:p>
    <w:p>
      <w:pPr>
        <w:pStyle w:val="ListBullet"/>
        <w:spacing w:after="40"/>
      </w:pPr>
      <w:r>
        <w:rPr>
          <w:sz w:val="21"/>
        </w:rPr>
        <w:t xml:space="preserve">Windows Function App module covers extensive site configuration properties — </w:t>
      </w:r>
      <w:r>
        <w:rPr>
          <w:b/>
          <w:color w:val="375A10"/>
          <w:sz w:val="21"/>
        </w:rPr>
        <w:t>GOOD</w:t>
      </w:r>
    </w:p>
    <w:p>
      <w:pPr>
        <w:pStyle w:val="ListBullet"/>
        <w:spacing w:after="40"/>
      </w:pPr>
      <w:r>
        <w:rPr>
          <w:sz w:val="21"/>
        </w:rPr>
        <w:t xml:space="preserve">MSSQL Database: 26+ variables, dynamic blocks for imports &amp; retention policies — </w:t>
      </w:r>
      <w:r>
        <w:rPr>
          <w:b/>
          <w:color w:val="375A10"/>
          <w:sz w:val="21"/>
        </w:rPr>
        <w:t>EXCELLENT</w:t>
      </w:r>
    </w:p>
    <w:p>
      <w:pPr>
        <w:pStyle w:val="ListBullet"/>
        <w:spacing w:after="40"/>
      </w:pPr>
      <w:r>
        <w:rPr>
          <w:sz w:val="21"/>
        </w:rPr>
        <w:t xml:space="preserve">Module completeness varies significantly by module — </w:t>
      </w:r>
      <w:r>
        <w:rPr>
          <w:b/>
          <w:color w:val="BF5000"/>
          <w:sz w:val="21"/>
        </w:rPr>
        <w:t>NEEDS WORK</w:t>
      </w:r>
    </w:p>
    <w:p>
      <w:pPr>
        <w:pStyle w:val="ListBullet"/>
        <w:spacing w:after="40"/>
      </w:pPr>
      <w:r>
        <w:rPr>
          <w:sz w:val="21"/>
        </w:rPr>
        <w:t xml:space="preserve">Hardcoded admin credentials in Windows VM test file (admin_username=testadmin, admin_password=TerraformPoc123) — </w:t>
      </w:r>
      <w:r>
        <w:rPr>
          <w:b/>
          <w:color w:val="C00000"/>
          <w:sz w:val="21"/>
        </w:rPr>
        <w:t>SECURITY ISSUE</w:t>
      </w:r>
    </w:p>
    <w:p>
      <w:pPr>
        <w:pStyle w:val="ListBullet"/>
        <w:spacing w:after="40"/>
      </w:pPr>
      <w:r>
        <w:rPr>
          <w:sz w:val="21"/>
        </w:rPr>
        <w:t xml:space="preserve">Optional variables strategy inconsistent across modules — </w:t>
      </w:r>
      <w:r>
        <w:rPr>
          <w:b/>
          <w:color w:val="BF5000"/>
          <w:sz w:val="21"/>
        </w:rPr>
        <w:t>NEEDS STANDARDISATION</w:t>
      </w:r>
    </w:p>
    <w:p>
      <w:pPr>
        <w:pStyle w:val="ListBullet"/>
        <w:spacing w:after="40"/>
      </w:pPr>
      <w:r>
        <w:rPr>
          <w:sz w:val="21"/>
        </w:rPr>
        <w:t xml:space="preserve">CI/CD pre-merge validation not visible in azure-pipelines.yml across repos — </w:t>
      </w:r>
      <w:r>
        <w:rPr>
          <w:b/>
          <w:color w:val="BF5000"/>
          <w:sz w:val="21"/>
        </w:rPr>
        <w:t>NEEDS GATES</w:t>
      </w:r>
    </w:p>
    <w:p>
      <w:pPr>
        <w:pStyle w:val="ListBullet"/>
        <w:spacing w:after="40"/>
      </w:pPr>
      <w:r>
        <w:rPr>
          <w:sz w:val="21"/>
        </w:rPr>
        <w:t xml:space="preserve">File naming inconsistent: requirements.tf used instead of versions.tf in some repos — </w:t>
      </w:r>
      <w:r>
        <w:rPr>
          <w:b/>
          <w:color w:val="BF5000"/>
          <w:sz w:val="21"/>
        </w:rPr>
        <w:t>NEEDS STANDARDISATION</w:t>
      </w:r>
    </w:p>
    <w:p>
      <w:pPr>
        <w:pStyle w:val="ListBullet"/>
        <w:spacing w:after="40"/>
      </w:pPr>
      <w:r>
        <w:rPr>
          <w:sz w:val="21"/>
        </w:rPr>
        <w:t xml:space="preserve">terraform-azurerm-test-availability-osg contains non-Terraform files (analytics.avif, assets.woff) — </w:t>
      </w:r>
      <w:r>
        <w:rPr>
          <w:b/>
          <w:color w:val="BF5000"/>
          <w:sz w:val="21"/>
        </w:rPr>
        <w:t>HYGIENE ISSUE</w:t>
      </w:r>
    </w:p>
    <w:p>
      <w:pPr>
        <w:pStyle w:val="ListBullet"/>
        <w:spacing w:after="40"/>
      </w:pPr>
      <w:r>
        <w:rPr>
          <w:sz w:val="21"/>
        </w:rPr>
        <w:t xml:space="preserve">Private DNS module missing virtual network link configuration — </w:t>
      </w:r>
      <w:r>
        <w:rPr>
          <w:b/>
          <w:color w:val="C00000"/>
          <w:sz w:val="21"/>
        </w:rPr>
        <w:t>INCOMPLETE</w:t>
      </w:r>
    </w:p>
    <w:p>
      <w:pPr>
        <w:pStyle w:val="ListBullet"/>
        <w:spacing w:after="40"/>
      </w:pPr>
      <w:r>
        <w:rPr>
          <w:sz w:val="21"/>
        </w:rPr>
        <w:t xml:space="preserve">Container Agent module sparse on optional networking configs — </w:t>
      </w:r>
      <w:r>
        <w:rPr>
          <w:b/>
          <w:color w:val="BF5000"/>
          <w:sz w:val="21"/>
        </w:rPr>
        <w:t>NEEDS WORK</w:t>
      </w:r>
    </w:p>
    <w:p/>
    <w:p>
      <w:pPr>
        <w:spacing w:before="280" w:after="80"/>
        <w:pBdr>
          <w:bottom w:val="single" w:sz="6" w:space="1" w:color="1F4E79"/>
        </w:pBdr>
      </w:pPr>
      <w:r>
        <w:rPr>
          <w:b/>
          <w:color w:val="1F4E79"/>
          <w:sz w:val="32"/>
        </w:rPr>
        <w:t>Module Inventory &amp; Completeness Analysis</w:t>
      </w:r>
    </w:p>
    <w:p>
      <w:pPr>
        <w:spacing w:after="80"/>
      </w:pPr>
      <w:r>
        <w:rPr>
          <w:b w:val="0"/>
          <w:sz w:val="21"/>
        </w:rPr>
        <w:t>From code review of Compeer HCP workspace screenshots: 13 modules identified. Assessment based solely on code and structure visible in screenshots:</w:t>
      </w:r>
    </w:p>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1F4E79"/>
          </w:tcPr>
          <w:p>
            <w:r/>
            <w:r>
              <w:rPr>
                <w:b/>
                <w:color w:val="FFFFFF"/>
                <w:sz w:val="21"/>
              </w:rPr>
              <w:t>Module</w:t>
            </w:r>
          </w:p>
        </w:tc>
        <w:tc>
          <w:tcPr>
            <w:tcW w:type="dxa" w:w="1440"/>
            <w:shd w:val="clear" w:color="auto" w:fill="1F4E79"/>
          </w:tcPr>
          <w:p>
            <w:r/>
            <w:r>
              <w:rPr>
                <w:b/>
                <w:color w:val="FFFFFF"/>
                <w:sz w:val="21"/>
              </w:rPr>
              <w:t>Status</w:t>
            </w:r>
          </w:p>
        </w:tc>
        <w:tc>
          <w:tcPr>
            <w:tcW w:type="dxa" w:w="4464"/>
            <w:shd w:val="clear" w:color="auto" w:fill="1F4E79"/>
          </w:tcPr>
          <w:p>
            <w:r/>
            <w:r>
              <w:rPr>
                <w:b/>
                <w:color w:val="FFFFFF"/>
                <w:sz w:val="21"/>
              </w:rPr>
              <w:t>Key Observation (from screenshots)</w:t>
            </w:r>
          </w:p>
        </w:tc>
        <w:tc>
          <w:tcPr>
            <w:tcW w:type="dxa" w:w="2736"/>
            <w:shd w:val="clear" w:color="auto" w:fill="1F4E79"/>
          </w:tcPr>
          <w:p>
            <w:r/>
            <w:r>
              <w:rPr>
                <w:b/>
                <w:color w:val="FFFFFF"/>
                <w:sz w:val="21"/>
              </w:rPr>
              <w:t>Action</w:t>
            </w:r>
          </w:p>
        </w:tc>
      </w:tr>
      <w:tr>
        <w:tc>
          <w:tcPr>
            <w:tcW w:type="dxa" w:w="2340"/>
            <w:shd w:val="clear" w:color="auto" w:fill="EBF3FB"/>
          </w:tcPr>
          <w:p>
            <w:r/>
            <w:r>
              <w:rPr>
                <w:b/>
                <w:sz w:val="20"/>
              </w:rPr>
              <w:t>Windows VM</w:t>
              <w:br/>
              <w:t>(compeer-windows-virtual-machine)</w:t>
            </w:r>
          </w:p>
        </w:tc>
        <w:tc>
          <w:tcPr>
            <w:tcW w:type="dxa" w:w="2340"/>
            <w:shd w:val="clear" w:color="auto" w:fill="2E74B5"/>
          </w:tcPr>
          <w:p>
            <w:r/>
            <w:r>
              <w:rPr>
                <w:b/>
                <w:color w:val="FFFFFF"/>
                <w:sz w:val="21"/>
              </w:rPr>
              <w:t>COMPLETE</w:t>
            </w:r>
          </w:p>
        </w:tc>
        <w:tc>
          <w:tcPr>
            <w:tcW w:type="dxa" w:w="2340"/>
            <w:shd w:val="clear" w:color="auto" w:fill="EBF3FB"/>
          </w:tcPr>
          <w:p>
            <w:r/>
            <w:r>
              <w:rPr>
                <w:sz w:val="20"/>
              </w:rPr>
              <w:t>40+ variables, comprehensive coverage. Has test file. Hardcoded admin_username = "testadmin" and admin_password = "TerraformPoc123" found in test/main.tf — security issue.</w:t>
            </w:r>
          </w:p>
        </w:tc>
        <w:tc>
          <w:tcPr>
            <w:tcW w:type="dxa" w:w="2340"/>
            <w:shd w:val="clear" w:color="auto" w:fill="FFE0E0"/>
          </w:tcPr>
          <w:p>
            <w:r/>
            <w:r>
              <w:rPr>
                <w:b/>
                <w:color w:val="C00000"/>
                <w:sz w:val="21"/>
              </w:rPr>
              <w:t>Parameterise test credentials. Move to environment variables or mocked values.</w:t>
            </w:r>
          </w:p>
        </w:tc>
      </w:tr>
      <w:tr>
        <w:tc>
          <w:tcPr>
            <w:tcW w:type="dxa" w:w="2340"/>
            <w:shd w:val="clear" w:color="auto" w:fill="FFFFFF"/>
          </w:tcPr>
          <w:p>
            <w:r/>
            <w:r>
              <w:rPr>
                <w:b/>
                <w:sz w:val="20"/>
              </w:rPr>
              <w:t>MSSQL Database</w:t>
            </w:r>
          </w:p>
        </w:tc>
        <w:tc>
          <w:tcPr>
            <w:tcW w:type="dxa" w:w="2340"/>
            <w:shd w:val="clear" w:color="auto" w:fill="375A10"/>
          </w:tcPr>
          <w:p>
            <w:r/>
            <w:r>
              <w:rPr>
                <w:b/>
                <w:color w:val="FFFFFF"/>
                <w:sz w:val="21"/>
              </w:rPr>
              <w:t>EXCELLENT</w:t>
            </w:r>
          </w:p>
        </w:tc>
        <w:tc>
          <w:tcPr>
            <w:tcW w:type="dxa" w:w="2340"/>
            <w:shd w:val="clear" w:color="auto" w:fill="FFFFFF"/>
          </w:tcPr>
          <w:p>
            <w:r/>
            <w:r>
              <w:rPr>
                <w:sz w:val="20"/>
              </w:rPr>
              <w:t>26+ variables. Dynamic blocks for import and retention policies. Good use of optional() with null defaults. Reusable across workloads.</w:t>
            </w:r>
          </w:p>
        </w:tc>
        <w:tc>
          <w:tcPr>
            <w:tcW w:type="dxa" w:w="2340"/>
            <w:shd w:val="clear" w:color="auto" w:fill="E2EFDA"/>
          </w:tcPr>
          <w:p>
            <w:r/>
            <w:r>
              <w:rPr>
                <w:b/>
                <w:color w:val="375A10"/>
                <w:sz w:val="21"/>
              </w:rPr>
              <w:t>Publish to HCP registry v1.0.0</w:t>
            </w:r>
          </w:p>
        </w:tc>
      </w:tr>
      <w:tr>
        <w:tc>
          <w:tcPr>
            <w:tcW w:type="dxa" w:w="2340"/>
            <w:shd w:val="clear" w:color="auto" w:fill="EBF3FB"/>
          </w:tcPr>
          <w:p>
            <w:r/>
            <w:r>
              <w:rPr>
                <w:b/>
                <w:sz w:val="20"/>
              </w:rPr>
              <w:t>Load Balancer</w:t>
            </w:r>
          </w:p>
        </w:tc>
        <w:tc>
          <w:tcPr>
            <w:tcW w:type="dxa" w:w="2340"/>
            <w:shd w:val="clear" w:color="auto" w:fill="548235"/>
          </w:tcPr>
          <w:p>
            <w:r/>
            <w:r>
              <w:rPr>
                <w:b/>
                <w:color w:val="FFFFFF"/>
                <w:sz w:val="21"/>
              </w:rPr>
              <w:t>GOOD</w:t>
            </w:r>
          </w:p>
        </w:tc>
        <w:tc>
          <w:tcPr>
            <w:tcW w:type="dxa" w:w="2340"/>
            <w:shd w:val="clear" w:color="auto" w:fill="EBF3FB"/>
          </w:tcPr>
          <w:p>
            <w:r/>
            <w:r>
              <w:rPr>
                <w:sz w:val="20"/>
              </w:rPr>
              <w:t>Multiple rule types (inbound/outbound) covered via dynamic blocks. Well-structured. Variables-driven.</w:t>
            </w:r>
          </w:p>
        </w:tc>
        <w:tc>
          <w:tcPr>
            <w:tcW w:type="dxa" w:w="2340"/>
            <w:shd w:val="clear" w:color="auto" w:fill="E2EFDA"/>
          </w:tcPr>
          <w:p>
            <w:r/>
            <w:r>
              <w:rPr>
                <w:b/>
                <w:color w:val="375A10"/>
                <w:sz w:val="21"/>
              </w:rPr>
              <w:t>Publish to HCP registry v1.0.0</w:t>
            </w:r>
          </w:p>
        </w:tc>
      </w:tr>
      <w:tr>
        <w:tc>
          <w:tcPr>
            <w:tcW w:type="dxa" w:w="2340"/>
            <w:shd w:val="clear" w:color="auto" w:fill="FFFFFF"/>
          </w:tcPr>
          <w:p>
            <w:r/>
            <w:r>
              <w:rPr>
                <w:b/>
                <w:sz w:val="20"/>
              </w:rPr>
              <w:t>Log Analytics</w:t>
            </w:r>
          </w:p>
        </w:tc>
        <w:tc>
          <w:tcPr>
            <w:tcW w:type="dxa" w:w="2340"/>
            <w:shd w:val="clear" w:color="auto" w:fill="548235"/>
          </w:tcPr>
          <w:p>
            <w:r/>
            <w:r>
              <w:rPr>
                <w:b/>
                <w:color w:val="FFFFFF"/>
                <w:sz w:val="21"/>
              </w:rPr>
              <w:t>GOOD</w:t>
            </w:r>
          </w:p>
        </w:tc>
        <w:tc>
          <w:tcPr>
            <w:tcW w:type="dxa" w:w="2340"/>
            <w:shd w:val="clear" w:color="auto" w:fill="FFFFFF"/>
          </w:tcPr>
          <w:p>
            <w:r/>
            <w:r>
              <w:rPr>
                <w:sz w:val="20"/>
              </w:rPr>
              <w:t>Multiple resource types covered: workspace, role assignments, security center. Fully variables-driven.</w:t>
            </w:r>
          </w:p>
        </w:tc>
        <w:tc>
          <w:tcPr>
            <w:tcW w:type="dxa" w:w="2340"/>
            <w:shd w:val="clear" w:color="auto" w:fill="E2EFDA"/>
          </w:tcPr>
          <w:p>
            <w:r/>
            <w:r>
              <w:rPr>
                <w:b/>
                <w:color w:val="375A10"/>
                <w:sz w:val="21"/>
              </w:rPr>
              <w:t>Publish to HCP registry v1.0.0</w:t>
            </w:r>
          </w:p>
        </w:tc>
      </w:tr>
      <w:tr>
        <w:tc>
          <w:tcPr>
            <w:tcW w:type="dxa" w:w="2340"/>
            <w:shd w:val="clear" w:color="auto" w:fill="EBF3FB"/>
          </w:tcPr>
          <w:p>
            <w:r/>
            <w:r>
              <w:rPr>
                <w:b/>
                <w:sz w:val="20"/>
              </w:rPr>
              <w:t>Private DNS</w:t>
            </w:r>
          </w:p>
        </w:tc>
        <w:tc>
          <w:tcPr>
            <w:tcW w:type="dxa" w:w="2340"/>
            <w:shd w:val="clear" w:color="auto" w:fill="C00000"/>
          </w:tcPr>
          <w:p>
            <w:r/>
            <w:r>
              <w:rPr>
                <w:b/>
                <w:color w:val="FFFFFF"/>
                <w:sz w:val="21"/>
              </w:rPr>
              <w:t>INCOMPLETE</w:t>
            </w:r>
          </w:p>
        </w:tc>
        <w:tc>
          <w:tcPr>
            <w:tcW w:type="dxa" w:w="2340"/>
            <w:shd w:val="clear" w:color="auto" w:fill="EBF3FB"/>
          </w:tcPr>
          <w:p>
            <w:r/>
            <w:r>
              <w:rPr>
                <w:sz w:val="20"/>
              </w:rPr>
              <w:t>Dynamic blocks present for DNS records. Missing virtual network link configuration (vnet_link_configs). No vnet link resources visible in screenshots.</w:t>
            </w:r>
          </w:p>
        </w:tc>
        <w:tc>
          <w:tcPr>
            <w:tcW w:type="dxa" w:w="2340"/>
            <w:shd w:val="clear" w:color="auto" w:fill="FFE0E0"/>
          </w:tcPr>
          <w:p>
            <w:r/>
            <w:r>
              <w:rPr>
                <w:b/>
                <w:color w:val="C00000"/>
                <w:sz w:val="21"/>
              </w:rPr>
              <w:t>Add vnet_link_configs variable, implement azurerm_private_dns_zone_virtual_network_link, add test, republish.</w:t>
            </w:r>
          </w:p>
        </w:tc>
      </w:tr>
      <w:tr>
        <w:tc>
          <w:tcPr>
            <w:tcW w:type="dxa" w:w="2340"/>
            <w:shd w:val="clear" w:color="auto" w:fill="FFFFFF"/>
          </w:tcPr>
          <w:p>
            <w:r/>
            <w:r>
              <w:rPr>
                <w:b/>
                <w:sz w:val="20"/>
              </w:rPr>
              <w:t>Container Agent</w:t>
            </w:r>
          </w:p>
        </w:tc>
        <w:tc>
          <w:tcPr>
            <w:tcW w:type="dxa" w:w="2340"/>
            <w:shd w:val="clear" w:color="auto" w:fill="7F6000"/>
          </w:tcPr>
          <w:p>
            <w:r/>
            <w:r>
              <w:rPr>
                <w:b/>
                <w:color w:val="FFFFFF"/>
                <w:sz w:val="21"/>
              </w:rPr>
              <w:t>BASIC</w:t>
            </w:r>
          </w:p>
        </w:tc>
        <w:tc>
          <w:tcPr>
            <w:tcW w:type="dxa" w:w="2340"/>
            <w:shd w:val="clear" w:color="auto" w:fill="FFFFFF"/>
          </w:tcPr>
          <w:p>
            <w:r/>
            <w:r>
              <w:rPr>
                <w:sz w:val="20"/>
              </w:rPr>
              <w:t>Good environment variable exposure. Sparse on optional networking configs — no firewall rules or NSG bindings exposed as variables.</w:t>
            </w:r>
          </w:p>
        </w:tc>
        <w:tc>
          <w:tcPr>
            <w:tcW w:type="dxa" w:w="2340"/>
          </w:tcPr>
          <w:p>
            <w:r/>
            <w:r>
              <w:rPr>
                <w:b w:val="0"/>
                <w:sz w:val="21"/>
              </w:rPr>
              <w:t>Expand module: add optional firewall_rules, nsg_id, and logging/monitoring config variables.</w:t>
            </w:r>
          </w:p>
        </w:tc>
      </w:tr>
      <w:tr>
        <w:tc>
          <w:tcPr>
            <w:tcW w:type="dxa" w:w="2340"/>
            <w:shd w:val="clear" w:color="auto" w:fill="EBF3FB"/>
          </w:tcPr>
          <w:p>
            <w:r/>
            <w:r>
              <w:rPr>
                <w:b/>
                <w:sz w:val="20"/>
              </w:rPr>
              <w:t>Network Interface</w:t>
            </w:r>
          </w:p>
        </w:tc>
        <w:tc>
          <w:tcPr>
            <w:tcW w:type="dxa" w:w="2340"/>
            <w:shd w:val="clear" w:color="auto" w:fill="548235"/>
          </w:tcPr>
          <w:p>
            <w:r/>
            <w:r>
              <w:rPr>
                <w:b/>
                <w:color w:val="FFFFFF"/>
                <w:sz w:val="21"/>
              </w:rPr>
              <w:t>GOOD</w:t>
            </w:r>
          </w:p>
        </w:tc>
        <w:tc>
          <w:tcPr>
            <w:tcW w:type="dxa" w:w="2340"/>
            <w:shd w:val="clear" w:color="auto" w:fill="EBF3FB"/>
          </w:tcPr>
          <w:p>
            <w:r/>
            <w:r>
              <w:rPr>
                <w:sz w:val="20"/>
              </w:rPr>
              <w:t>IP configurations, DNS, and tags all exposed via variables. Well-parametrised.</w:t>
            </w:r>
          </w:p>
        </w:tc>
        <w:tc>
          <w:tcPr>
            <w:tcW w:type="dxa" w:w="2340"/>
            <w:shd w:val="clear" w:color="auto" w:fill="E2EFDA"/>
          </w:tcPr>
          <w:p>
            <w:r/>
            <w:r>
              <w:rPr>
                <w:b/>
                <w:color w:val="375A10"/>
                <w:sz w:val="21"/>
              </w:rPr>
              <w:t>Publish to HCP registry v1.0.0</w:t>
            </w:r>
          </w:p>
        </w:tc>
      </w:tr>
      <w:tr>
        <w:tc>
          <w:tcPr>
            <w:tcW w:type="dxa" w:w="2340"/>
            <w:shd w:val="clear" w:color="auto" w:fill="FFFFFF"/>
          </w:tcPr>
          <w:p>
            <w:r/>
            <w:r>
              <w:rPr>
                <w:b/>
                <w:sz w:val="20"/>
              </w:rPr>
              <w:t>Event Grid</w:t>
              <w:br/>
              <w:t>(compeer-event-grid)</w:t>
            </w:r>
          </w:p>
        </w:tc>
        <w:tc>
          <w:tcPr>
            <w:tcW w:type="dxa" w:w="2340"/>
            <w:shd w:val="clear" w:color="auto" w:fill="548235"/>
          </w:tcPr>
          <w:p>
            <w:r/>
            <w:r>
              <w:rPr>
                <w:b/>
                <w:color w:val="FFFFFF"/>
                <w:sz w:val="21"/>
              </w:rPr>
              <w:t>GOOD</w:t>
            </w:r>
          </w:p>
        </w:tc>
        <w:tc>
          <w:tcPr>
            <w:tcW w:type="dxa" w:w="2340"/>
            <w:shd w:val="clear" w:color="auto" w:fill="FFFFFF"/>
          </w:tcPr>
          <w:p>
            <w:r/>
            <w:r>
              <w:rPr>
                <w:sz w:val="20"/>
              </w:rPr>
              <w:t>Separate event_topics.tf and event_subscription.tf files — comprehensive split. Key variables visible: input_schema, public_network_access_enabled, local_auth_enabled. Identity block with type and identity_ids exposed. Has data.tf, locals.tf, outputs.tf, README.md, azure-pipelines.yml.</w:t>
            </w:r>
          </w:p>
        </w:tc>
        <w:tc>
          <w:tcPr>
            <w:tcW w:type="dxa" w:w="2340"/>
            <w:shd w:val="clear" w:color="auto" w:fill="E2EFDA"/>
          </w:tcPr>
          <w:p>
            <w:r/>
            <w:r>
              <w:rPr>
                <w:b/>
                <w:color w:val="375A10"/>
                <w:sz w:val="21"/>
              </w:rPr>
              <w:t>Publish to HCP registry v1.0.0. Add event subscription optional variables.</w:t>
            </w:r>
          </w:p>
        </w:tc>
      </w:tr>
      <w:tr>
        <w:tc>
          <w:tcPr>
            <w:tcW w:type="dxa" w:w="2340"/>
            <w:shd w:val="clear" w:color="auto" w:fill="EBF3FB"/>
          </w:tcPr>
          <w:p>
            <w:r/>
            <w:r>
              <w:rPr>
                <w:b/>
                <w:sz w:val="20"/>
              </w:rPr>
              <w:t>Storage Account</w:t>
              <w:br/>
              <w:t>(compeer-storage-account)</w:t>
            </w:r>
          </w:p>
        </w:tc>
        <w:tc>
          <w:tcPr>
            <w:tcW w:type="dxa" w:w="2340"/>
            <w:shd w:val="clear" w:color="auto" w:fill="375A10"/>
          </w:tcPr>
          <w:p>
            <w:r/>
            <w:r>
              <w:rPr>
                <w:b/>
                <w:color w:val="FFFFFF"/>
                <w:sz w:val="21"/>
              </w:rPr>
              <w:t>EXCELLENT</w:t>
            </w:r>
          </w:p>
        </w:tc>
        <w:tc>
          <w:tcPr>
            <w:tcW w:type="dxa" w:w="2340"/>
            <w:shd w:val="clear" w:color="auto" w:fill="EBF3FB"/>
          </w:tcPr>
          <w:p>
            <w:r/>
            <w:r>
              <w:rPr>
                <w:sz w:val="20"/>
              </w:rPr>
              <w:t>Most comprehensive module visible in screenshots. Separate files: containers.tf, queues.tf, tables.tf, fileShare.tf, storage_account.tf, blockage.tf. tables.tf uses for_each = toset(var.table_names) pattern. storage_account.tf exposes: account_tier, account_replication_type, custom_domain, identity, network_rules. Has versions.tf (correctly named). Lifecycle rules present.</w:t>
            </w:r>
          </w:p>
        </w:tc>
        <w:tc>
          <w:tcPr>
            <w:tcW w:type="dxa" w:w="2340"/>
            <w:shd w:val="clear" w:color="auto" w:fill="E2EFDA"/>
          </w:tcPr>
          <w:p>
            <w:r/>
            <w:r>
              <w:rPr>
                <w:b/>
                <w:color w:val="375A10"/>
                <w:sz w:val="21"/>
              </w:rPr>
              <w:t>Publish to HCP registry v1.0.0</w:t>
            </w:r>
          </w:p>
        </w:tc>
      </w:tr>
      <w:tr>
        <w:tc>
          <w:tcPr>
            <w:tcW w:type="dxa" w:w="2340"/>
            <w:shd w:val="clear" w:color="auto" w:fill="FFFFFF"/>
          </w:tcPr>
          <w:p>
            <w:r/>
            <w:r>
              <w:rPr>
                <w:b/>
                <w:sz w:val="20"/>
              </w:rPr>
              <w:t>VNet Peering</w:t>
              <w:br/>
              <w:t>(compeer-vnet-peering)</w:t>
            </w:r>
          </w:p>
        </w:tc>
        <w:tc>
          <w:tcPr>
            <w:tcW w:type="dxa" w:w="2340"/>
            <w:shd w:val="clear" w:color="auto" w:fill="548235"/>
          </w:tcPr>
          <w:p>
            <w:r/>
            <w:r>
              <w:rPr>
                <w:b/>
                <w:color w:val="FFFFFF"/>
                <w:sz w:val="21"/>
              </w:rPr>
              <w:t>GOOD</w:t>
            </w:r>
          </w:p>
        </w:tc>
        <w:tc>
          <w:tcPr>
            <w:tcW w:type="dxa" w:w="2340"/>
            <w:shd w:val="clear" w:color="auto" w:fill="FFFFFF"/>
          </w:tcPr>
          <w:p>
            <w:r/>
            <w:r>
              <w:rPr>
                <w:sz w:val="20"/>
              </w:rPr>
              <w:t>Clean focused module. All 4 peering flags exposed as variables: allow_virtual_network_access, allow_forwarded_traffic, allow_gateway_transit, use_remote_gateways. Has outputs.tf, README.md, azure-pipelines.yml. Uses requirements.tf instead of versions.tf — naming inconsistency.</w:t>
            </w:r>
          </w:p>
        </w:tc>
        <w:tc>
          <w:tcPr>
            <w:tcW w:type="dxa" w:w="2340"/>
          </w:tcPr>
          <w:p>
            <w:r/>
            <w:r>
              <w:rPr>
                <w:b w:val="0"/>
                <w:sz w:val="21"/>
              </w:rPr>
              <w:t>Rename requirements.tf to versions.tf. Add tests. Publish to HCP registry v1.0.0.</w:t>
            </w:r>
          </w:p>
        </w:tc>
      </w:tr>
      <w:tr>
        <w:tc>
          <w:tcPr>
            <w:tcW w:type="dxa" w:w="2340"/>
            <w:shd w:val="clear" w:color="auto" w:fill="EBF3FB"/>
          </w:tcPr>
          <w:p>
            <w:r/>
            <w:r>
              <w:rPr>
                <w:b/>
                <w:sz w:val="20"/>
              </w:rPr>
              <w:t>Windows Function App</w:t>
              <w:br/>
              <w:t>(compeer-windows-function-app)</w:t>
            </w:r>
          </w:p>
        </w:tc>
        <w:tc>
          <w:tcPr>
            <w:tcW w:type="dxa" w:w="2340"/>
            <w:shd w:val="clear" w:color="auto" w:fill="548235"/>
          </w:tcPr>
          <w:p>
            <w:r/>
            <w:r>
              <w:rPr>
                <w:b/>
                <w:color w:val="FFFFFF"/>
                <w:sz w:val="21"/>
              </w:rPr>
              <w:t>GOOD</w:t>
            </w:r>
          </w:p>
        </w:tc>
        <w:tc>
          <w:tcPr>
            <w:tcW w:type="dxa" w:w="2340"/>
            <w:shd w:val="clear" w:color="auto" w:fill="EBF3FB"/>
          </w:tcPr>
          <w:p>
            <w:r/>
            <w:r>
              <w:rPr>
                <w:sz w:val="20"/>
              </w:rPr>
              <w:t>Extensive site configuration properties visible: storage_account_connection_string, storage_account_access_key (key in variables — review for state exposure), application_insights_connection_string, builtin_log_disabled, client_certificate_mode, functions_extension_version. Has data.tf, locals.tf. Uses requirements.tf instead of versions.tf — same naming inconsistency as VNet Peering.</w:t>
            </w:r>
          </w:p>
        </w:tc>
        <w:tc>
          <w:tcPr>
            <w:tcW w:type="dxa" w:w="2340"/>
            <w:shd w:val="clear" w:color="auto" w:fill="FFE0E0"/>
          </w:tcPr>
          <w:p>
            <w:r/>
            <w:r>
              <w:rPr>
                <w:b/>
                <w:color w:val="C00000"/>
                <w:sz w:val="21"/>
              </w:rPr>
              <w:t>Mark storage_account_access_key as sensitive = true. Rename requirements.tf to versions.tf. Add tests.</w:t>
            </w:r>
          </w:p>
        </w:tc>
      </w:tr>
      <w:tr>
        <w:tc>
          <w:tcPr>
            <w:tcW w:type="dxa" w:w="2340"/>
            <w:shd w:val="clear" w:color="auto" w:fill="FFFFFF"/>
          </w:tcPr>
          <w:p>
            <w:r/>
            <w:r>
              <w:rPr>
                <w:b/>
                <w:sz w:val="20"/>
              </w:rPr>
              <w:t>NSG Association</w:t>
              <w:br/>
              <w:t>(compeer-nsg or similar)</w:t>
            </w:r>
          </w:p>
        </w:tc>
        <w:tc>
          <w:tcPr>
            <w:tcW w:type="dxa" w:w="2340"/>
            <w:shd w:val="clear" w:color="auto" w:fill="7F6000"/>
          </w:tcPr>
          <w:p>
            <w:r/>
            <w:r>
              <w:rPr>
                <w:b/>
                <w:color w:val="FFFFFF"/>
                <w:sz w:val="21"/>
              </w:rPr>
              <w:t>BASIC</w:t>
            </w:r>
          </w:p>
        </w:tc>
        <w:tc>
          <w:tcPr>
            <w:tcW w:type="dxa" w:w="2340"/>
            <w:shd w:val="clear" w:color="auto" w:fill="FFFFFF"/>
          </w:tcPr>
          <w:p>
            <w:r/>
            <w:r>
              <w:rPr>
                <w:sz w:val="20"/>
              </w:rPr>
              <w:t>Very thin module. Files: azure_nsg_association.tf, azure_nsg.tf, data.tf, outputs.tf, providers.tf, variables.tf, versions.tf (correctly named). Only subnet_id exposed as variable. NSG association is a single resource. Limited reusability on its own — typically consumed alongside a network module.</w:t>
            </w:r>
          </w:p>
        </w:tc>
        <w:tc>
          <w:tcPr>
            <w:tcW w:type="dxa" w:w="2340"/>
          </w:tcPr>
          <w:p>
            <w:r/>
            <w:r>
              <w:rPr>
                <w:b w:val="0"/>
                <w:sz w:val="21"/>
              </w:rPr>
              <w:t>Consider merging into a broader network-security module. Add NSG rule variables.</w:t>
            </w:r>
          </w:p>
        </w:tc>
      </w:tr>
      <w:tr>
        <w:tc>
          <w:tcPr>
            <w:tcW w:type="dxa" w:w="2340"/>
            <w:shd w:val="clear" w:color="auto" w:fill="EBF3FB"/>
          </w:tcPr>
          <w:p>
            <w:r/>
            <w:r>
              <w:rPr>
                <w:b/>
                <w:sz w:val="20"/>
              </w:rPr>
              <w:t>Mixed/Availability VMs</w:t>
              <w:br/>
              <w:t>(test-availability-osg)</w:t>
            </w:r>
          </w:p>
        </w:tc>
        <w:tc>
          <w:tcPr>
            <w:tcW w:type="dxa" w:w="2340"/>
            <w:shd w:val="clear" w:color="auto" w:fill="C00000"/>
          </w:tcPr>
          <w:p>
            <w:r/>
            <w:r>
              <w:rPr>
                <w:b/>
                <w:color w:val="FFFFFF"/>
                <w:sz w:val="21"/>
              </w:rPr>
              <w:t>INCOMPLETE</w:t>
            </w:r>
          </w:p>
        </w:tc>
        <w:tc>
          <w:tcPr>
            <w:tcW w:type="dxa" w:w="2340"/>
            <w:shd w:val="clear" w:color="auto" w:fill="EBF3FB"/>
          </w:tcPr>
          <w:p>
            <w:r/>
            <w:r>
              <w:rPr>
                <w:sz w:val="20"/>
              </w:rPr>
              <w:t>Non-standard file naming throughout: resource.tf instead of main.tf, output.tf instead of outputs.tf. Non-Terraform files present in repo: analytics.avif, assets.woff — poor hygiene. Code in mixed-virtual-machines.tf shows VM config: admin_username, admin_password, custom_data, admin_ssh_keys, os_disk, source_image_id. The 'test' prefix in workspace name suggests this is experimental, not production-ready.</w:t>
            </w:r>
          </w:p>
        </w:tc>
        <w:tc>
          <w:tcPr>
            <w:tcW w:type="dxa" w:w="2340"/>
            <w:shd w:val="clear" w:color="auto" w:fill="FFE0E0"/>
          </w:tcPr>
          <w:p>
            <w:r/>
            <w:r>
              <w:rPr>
                <w:b/>
                <w:color w:val="C00000"/>
                <w:sz w:val="21"/>
              </w:rPr>
              <w:t>Rename files to standard names. Remove non-TF files. Do not publish until remediated.</w:t>
            </w:r>
          </w:p>
        </w:tc>
      </w:tr>
    </w:tbl>
    <w:p>
      <w:r>
        <w:br w:type="page"/>
      </w:r>
    </w:p>
    <w:p>
      <w:pPr>
        <w:spacing w:before="280" w:after="80"/>
        <w:pBdr>
          <w:bottom w:val="single" w:sz="6" w:space="1" w:color="1F4E79"/>
        </w:pBdr>
      </w:pPr>
      <w:r>
        <w:rPr>
          <w:b/>
          <w:color w:val="1F4E79"/>
          <w:sz w:val="32"/>
        </w:rPr>
        <w:t>Critical Findings &amp; Issues</w:t>
      </w:r>
    </w:p>
    <w:p>
      <w:pPr>
        <w:spacing w:before="160" w:after="40"/>
      </w:pPr>
      <w:r>
        <w:rPr>
          <w:b/>
          <w:color w:val="C00000"/>
          <w:sz w:val="24"/>
        </w:rPr>
        <w:t>Issue 1: Hardcoded Credentials in Module Tests</w:t>
      </w:r>
    </w:p>
    <w:p>
      <w:pPr>
        <w:spacing w:after="80"/>
      </w:pPr>
      <w:r>
        <w:rPr>
          <w:b w:val="0"/>
          <w:sz w:val="21"/>
        </w:rPr>
        <w:t>Example from windows-virtual-machine/test/main.tf (visible in screenshots):</w:t>
      </w:r>
    </w:p>
    <w:p>
      <w:pPr>
        <w:spacing w:after="80"/>
        <w:ind w:left="432"/>
        <w:shd w:val="clear" w:color="auto" w:fill="F0F0F0"/>
      </w:pPr>
      <w:r>
        <w:rPr>
          <w:rFonts w:ascii="Courier New" w:hAnsi="Courier New"/>
          <w:sz w:val="18"/>
        </w:rPr>
        <w:t>admin_username = "testadmin"</w:t>
        <w:br/>
        <w:t>admin_password = "TerraformPoc123"    # FIX REQUIRED: Never hardcode credentials in code or tests</w:t>
      </w:r>
    </w:p>
    <w:p>
      <w:pPr>
        <w:pStyle w:val="ListBullet"/>
        <w:spacing w:after="40"/>
      </w:pPr>
      <w:r>
        <w:rPr>
          <w:sz w:val="21"/>
        </w:rPr>
        <w:t>Hardcoded credentials in test files are committed to source control</w:t>
      </w:r>
    </w:p>
    <w:p>
      <w:pPr>
        <w:pStyle w:val="ListBullet"/>
        <w:spacing w:after="40"/>
      </w:pPr>
      <w:r>
        <w:rPr>
          <w:sz w:val="21"/>
        </w:rPr>
        <w:t>Any developer with repo access can see the credentials</w:t>
      </w:r>
    </w:p>
    <w:p>
      <w:pPr>
        <w:pStyle w:val="ListBullet"/>
        <w:spacing w:after="40"/>
      </w:pPr>
      <w:r>
        <w:rPr>
          <w:sz w:val="21"/>
        </w:rPr>
        <w:t>If the test account is used in any real environment the password is now compromised</w:t>
      </w:r>
    </w:p>
    <w:p>
      <w:pPr>
        <w:pStyle w:val="ListBullet"/>
        <w:spacing w:after="40"/>
      </w:pPr>
      <w:r>
        <w:rPr>
          <w:sz w:val="21"/>
        </w:rPr>
        <w:t>Automated scanners (e.g., checkov, truffleHog) will flag this in CI/CD</w:t>
      </w:r>
    </w:p>
    <w:p>
      <w:pPr>
        <w:spacing w:after="120"/>
        <w:ind w:left="432"/>
      </w:pPr>
      <w:r>
        <w:rPr>
          <w:b/>
          <w:color w:val="C00000"/>
          <w:sz w:val="21"/>
        </w:rPr>
        <w:t xml:space="preserve">Solution: </w:t>
      </w:r>
      <w:r>
        <w:rPr>
          <w:b/>
          <w:i/>
          <w:color w:val="C00000"/>
          <w:sz w:val="21"/>
        </w:rPr>
        <w:t>Use environment variables or the Terraform testing framework with mocked/generated credentials. Never commit real usernames or passwords in .tf or .go test files.</w:t>
      </w:r>
    </w:p>
    <w:p>
      <w:pPr>
        <w:spacing w:before="160" w:after="40"/>
      </w:pPr>
      <w:r>
        <w:rPr>
          <w:b/>
          <w:color w:val="BF5000"/>
          <w:sz w:val="24"/>
        </w:rPr>
        <w:t>Issue 2: Optional Variables Strategy Inconsistent</w:t>
      </w:r>
    </w:p>
    <w:p>
      <w:pPr>
        <w:spacing w:after="80"/>
      </w:pPr>
      <w:r>
        <w:rPr>
          <w:b w:val="0"/>
          <w:sz w:val="21"/>
        </w:rPr>
        <w:t>Some modules expose optional variables correctly, others do not:</w:t>
      </w:r>
    </w:p>
    <w:p>
      <w:pPr>
        <w:pStyle w:val="ListBullet"/>
        <w:spacing w:after="40"/>
      </w:pPr>
      <w:r>
        <w:rPr>
          <w:sz w:val="21"/>
        </w:rPr>
        <w:t>MSSQL Database: Good use of optional() with null defaults for imports and retention policies</w:t>
      </w:r>
    </w:p>
    <w:p>
      <w:pPr>
        <w:pStyle w:val="ListBullet"/>
        <w:spacing w:after="40"/>
      </w:pPr>
      <w:r>
        <w:rPr>
          <w:sz w:val="21"/>
        </w:rPr>
        <w:t>Windows VM: Uses ternary operators and optional() for source_image_id — functional but inconsistent style</w:t>
      </w:r>
    </w:p>
    <w:p>
      <w:pPr>
        <w:pStyle w:val="ListBullet"/>
        <w:spacing w:after="40"/>
      </w:pPr>
      <w:r>
        <w:rPr>
          <w:sz w:val="21"/>
        </w:rPr>
        <w:t>Container Agent: Missing optional networking configs entirely — firewall rules and NSG bindings not exposed</w:t>
      </w:r>
    </w:p>
    <w:p>
      <w:pPr>
        <w:pStyle w:val="ListBullet"/>
        <w:spacing w:after="40"/>
      </w:pPr>
      <w:r>
        <w:rPr>
          <w:sz w:val="21"/>
        </w:rPr>
        <w:t>Windows Function App: storage_account_access_key visible in variables but not marked sensitive = true</w:t>
      </w:r>
    </w:p>
    <w:p>
      <w:pPr>
        <w:pStyle w:val="ListBullet"/>
        <w:spacing w:after="40"/>
      </w:pPr>
      <w:r>
        <w:rPr>
          <w:sz w:val="21"/>
        </w:rPr>
        <w:t>NSG Association: Only subnet_id exposed — callers have no control over NSG rule configuration</w:t>
      </w:r>
    </w:p>
    <w:p>
      <w:pPr>
        <w:spacing w:after="120"/>
        <w:ind w:left="432"/>
      </w:pPr>
      <w:r>
        <w:rPr>
          <w:b/>
          <w:color w:val="C00000"/>
          <w:sz w:val="21"/>
        </w:rPr>
        <w:t xml:space="preserve">Solution: </w:t>
      </w:r>
      <w:r>
        <w:rPr>
          <w:b/>
          <w:i/>
          <w:color w:val="C00000"/>
          <w:sz w:val="21"/>
        </w:rPr>
        <w:t>Adopt a consistent pattern: all optional variables use default = null or typed optional() with explicit defaults. All sensitive values (keys, passwords, connection strings) must have sensitive = true. See Pattern 2 (Variable Naming Convention) in this document.</w:t>
      </w:r>
    </w:p>
    <w:p>
      <w:pPr>
        <w:spacing w:before="160" w:after="40"/>
      </w:pPr>
      <w:r>
        <w:rPr>
          <w:b/>
          <w:color w:val="BF5000"/>
          <w:sz w:val="24"/>
        </w:rPr>
        <w:t>Issue 3: CI/CD Pre-Merge Gates Not Visible</w:t>
      </w:r>
    </w:p>
    <w:p>
      <w:pPr>
        <w:spacing w:after="80"/>
      </w:pPr>
      <w:r>
        <w:rPr>
          <w:b w:val="0"/>
          <w:sz w:val="21"/>
        </w:rPr>
        <w:t>azure-pipelines.yml is present in all repos visible in screenshots, but pipeline content appears minimal:</w:t>
      </w:r>
    </w:p>
    <w:p>
      <w:pPr>
        <w:pStyle w:val="ListBullet"/>
        <w:spacing w:after="40"/>
      </w:pPr>
      <w:r>
        <w:rPr>
          <w:sz w:val="21"/>
        </w:rPr>
        <w:t>No terraform fmt -check enforcement visible</w:t>
      </w:r>
    </w:p>
    <w:p>
      <w:pPr>
        <w:pStyle w:val="ListBullet"/>
        <w:spacing w:after="40"/>
      </w:pPr>
      <w:r>
        <w:rPr>
          <w:sz w:val="21"/>
        </w:rPr>
        <w:t>No terraform validate step on PR</w:t>
      </w:r>
    </w:p>
    <w:p>
      <w:pPr>
        <w:pStyle w:val="ListBullet"/>
        <w:spacing w:after="40"/>
      </w:pPr>
      <w:r>
        <w:rPr>
          <w:sz w:val="21"/>
        </w:rPr>
        <w:t>Tests exist (.test.go files referenced in existing review) but it is unclear if they run in the pipeline</w:t>
      </w:r>
    </w:p>
    <w:p>
      <w:pPr>
        <w:pStyle w:val="ListBullet"/>
        <w:spacing w:after="40"/>
      </w:pPr>
      <w:r>
        <w:rPr>
          <w:sz w:val="21"/>
        </w:rPr>
        <w:t>No tflint or checkov static analysis visible in pipeline definitions</w:t>
      </w:r>
    </w:p>
    <w:p>
      <w:pPr>
        <w:pStyle w:val="ListBullet"/>
        <w:spacing w:after="40"/>
      </w:pPr>
      <w:r>
        <w:rPr>
          <w:sz w:val="21"/>
        </w:rPr>
        <w:t>No automated version tagging or HCP registry publish step visible</w:t>
      </w:r>
    </w:p>
    <w:p>
      <w:pPr>
        <w:spacing w:after="120"/>
        <w:ind w:left="432"/>
      </w:pPr>
      <w:r>
        <w:rPr>
          <w:b/>
          <w:color w:val="C00000"/>
          <w:sz w:val="21"/>
        </w:rPr>
        <w:t xml:space="preserve">Solution: </w:t>
      </w:r>
      <w:r>
        <w:rPr>
          <w:b/>
          <w:i/>
          <w:color w:val="C00000"/>
          <w:sz w:val="21"/>
        </w:rPr>
        <w:t>Add pipeline stages: fmt-check → validate → tflint → checkov → terraform test. Add post-merge stage to tag the module version and publish to HCP Private Module Registry. Tests must run on every PR before the module can be merged.</w:t>
      </w:r>
    </w:p>
    <w:p>
      <w:pPr>
        <w:spacing w:before="160" w:after="40"/>
      </w:pPr>
      <w:r>
        <w:rPr>
          <w:b/>
          <w:color w:val="BF5000"/>
          <w:sz w:val="24"/>
        </w:rPr>
        <w:t>Issue 4: File Naming Inconsistency Across Repos</w:t>
      </w:r>
    </w:p>
    <w:p>
      <w:pPr>
        <w:spacing w:after="80"/>
      </w:pPr>
      <w:r>
        <w:rPr>
          <w:b w:val="0"/>
          <w:sz w:val="21"/>
        </w:rPr>
        <w:t>Screenshots reveal inconsistent file naming between modules:</w:t>
      </w:r>
    </w:p>
    <w:p>
      <w:pPr>
        <w:pStyle w:val="ListBullet"/>
        <w:spacing w:after="40"/>
      </w:pPr>
      <w:r>
        <w:rPr>
          <w:b/>
          <w:sz w:val="21"/>
        </w:rPr>
        <w:t xml:space="preserve">compeer-vnet-peering  </w:t>
      </w:r>
      <w:r>
        <w:rPr>
          <w:sz w:val="21"/>
        </w:rPr>
      </w:r>
      <w:r>
        <w:rPr>
          <w:sz w:val="21"/>
        </w:rPr>
        <w:t xml:space="preserve">compeer-vnet-peering  —  </w:t>
      </w:r>
      <w:r>
        <w:rPr>
          <w:rFonts w:ascii="Courier New" w:hAnsi="Courier New"/>
          <w:b/>
          <w:color w:val="C00000"/>
          <w:sz w:val="21"/>
        </w:rPr>
        <w:t>requirements.tf</w:t>
      </w:r>
      <w:r>
        <w:rPr>
          <w:sz w:val="21"/>
        </w:rPr>
        <w:t xml:space="preserve">  should be  </w:t>
      </w:r>
      <w:r>
        <w:rPr>
          <w:rFonts w:ascii="Courier New" w:hAnsi="Courier New"/>
          <w:b/>
          <w:color w:val="375A10"/>
          <w:sz w:val="21"/>
        </w:rPr>
        <w:t>versions.tf</w:t>
      </w:r>
    </w:p>
    <w:p>
      <w:pPr>
        <w:pStyle w:val="ListBullet"/>
        <w:spacing w:after="40"/>
      </w:pPr>
      <w:r>
        <w:rPr>
          <w:b/>
          <w:sz w:val="21"/>
        </w:rPr>
        <w:t xml:space="preserve">compeer-windows-function-app  </w:t>
      </w:r>
      <w:r>
        <w:rPr>
          <w:sz w:val="21"/>
        </w:rPr>
      </w:r>
      <w:r>
        <w:rPr>
          <w:sz w:val="21"/>
        </w:rPr>
        <w:t xml:space="preserve">compeer-windows-function-app  —  </w:t>
      </w:r>
      <w:r>
        <w:rPr>
          <w:rFonts w:ascii="Courier New" w:hAnsi="Courier New"/>
          <w:b/>
          <w:color w:val="C00000"/>
          <w:sz w:val="21"/>
        </w:rPr>
        <w:t>requirements.tf</w:t>
      </w:r>
      <w:r>
        <w:rPr>
          <w:sz w:val="21"/>
        </w:rPr>
        <w:t xml:space="preserve">  should be  </w:t>
      </w:r>
      <w:r>
        <w:rPr>
          <w:rFonts w:ascii="Courier New" w:hAnsi="Courier New"/>
          <w:b/>
          <w:color w:val="375A10"/>
          <w:sz w:val="21"/>
        </w:rPr>
        <w:t>versions.tf</w:t>
      </w:r>
    </w:p>
    <w:p>
      <w:pPr>
        <w:pStyle w:val="ListBullet"/>
        <w:spacing w:after="40"/>
      </w:pPr>
      <w:r>
        <w:rPr>
          <w:b/>
          <w:sz w:val="21"/>
        </w:rPr>
        <w:t xml:space="preserve">test-availability-osg  </w:t>
      </w:r>
      <w:r>
        <w:rPr>
          <w:sz w:val="21"/>
        </w:rPr>
      </w:r>
      <w:r>
        <w:rPr>
          <w:sz w:val="21"/>
        </w:rPr>
        <w:t xml:space="preserve">test-availability-osg  —  </w:t>
      </w:r>
      <w:r>
        <w:rPr>
          <w:rFonts w:ascii="Courier New" w:hAnsi="Courier New"/>
          <w:b/>
          <w:color w:val="C00000"/>
          <w:sz w:val="21"/>
        </w:rPr>
        <w:t>resource.tf</w:t>
      </w:r>
      <w:r>
        <w:rPr>
          <w:sz w:val="21"/>
        </w:rPr>
        <w:t xml:space="preserve">  should be  </w:t>
      </w:r>
      <w:r>
        <w:rPr>
          <w:rFonts w:ascii="Courier New" w:hAnsi="Courier New"/>
          <w:b/>
          <w:color w:val="375A10"/>
          <w:sz w:val="21"/>
        </w:rPr>
        <w:t>main.tf</w:t>
      </w:r>
    </w:p>
    <w:p>
      <w:pPr>
        <w:pStyle w:val="ListBullet"/>
        <w:spacing w:after="40"/>
      </w:pPr>
      <w:r>
        <w:rPr>
          <w:b/>
          <w:sz w:val="21"/>
        </w:rPr>
        <w:t xml:space="preserve">test-availability-osg  </w:t>
      </w:r>
      <w:r>
        <w:rPr>
          <w:sz w:val="21"/>
        </w:rPr>
      </w:r>
      <w:r>
        <w:rPr>
          <w:sz w:val="21"/>
        </w:rPr>
        <w:t xml:space="preserve">test-availability-osg  —  </w:t>
      </w:r>
      <w:r>
        <w:rPr>
          <w:rFonts w:ascii="Courier New" w:hAnsi="Courier New"/>
          <w:b/>
          <w:color w:val="C00000"/>
          <w:sz w:val="21"/>
        </w:rPr>
        <w:t>output.tf</w:t>
      </w:r>
      <w:r>
        <w:rPr>
          <w:sz w:val="21"/>
        </w:rPr>
        <w:t xml:space="preserve">  should be  </w:t>
      </w:r>
      <w:r>
        <w:rPr>
          <w:rFonts w:ascii="Courier New" w:hAnsi="Courier New"/>
          <w:b/>
          <w:color w:val="375A10"/>
          <w:sz w:val="21"/>
        </w:rPr>
        <w:t>outputs.tf</w:t>
      </w:r>
    </w:p>
    <w:p>
      <w:pPr>
        <w:spacing w:after="120"/>
        <w:ind w:left="432"/>
      </w:pPr>
      <w:r>
        <w:rPr>
          <w:b/>
          <w:color w:val="C00000"/>
          <w:sz w:val="21"/>
        </w:rPr>
        <w:t xml:space="preserve">Solution: </w:t>
      </w:r>
      <w:r>
        <w:rPr>
          <w:b/>
          <w:i/>
          <w:color w:val="C00000"/>
          <w:sz w:val="21"/>
        </w:rPr>
        <w:t>Standardise all modules to the naming convention in Pattern 1 (Module File Structure). Rename requirements.tf → versions.tf, resource.tf → main.tf, output.tf → outputs.tf across all affected repos.</w:t>
      </w:r>
    </w:p>
    <w:p>
      <w:pPr>
        <w:spacing w:before="160" w:after="40"/>
      </w:pPr>
      <w:r>
        <w:rPr>
          <w:b/>
          <w:color w:val="BF5000"/>
          <w:sz w:val="24"/>
        </w:rPr>
        <w:t>Issue 5: Non-Terraform Files in test-availability-osg Repo</w:t>
      </w:r>
    </w:p>
    <w:p>
      <w:pPr>
        <w:spacing w:after="80"/>
      </w:pPr>
      <w:r>
        <w:rPr>
          <w:b w:val="0"/>
          <w:sz w:val="21"/>
        </w:rPr>
        <w:t>The terraform-azurerm-test-availability-osg workspace contains files that should never be in a Terraform module repo:</w:t>
      </w:r>
    </w:p>
    <w:p>
      <w:pPr>
        <w:spacing w:after="80"/>
        <w:ind w:left="432"/>
        <w:shd w:val="clear" w:color="auto" w:fill="F0F0F0"/>
      </w:pPr>
      <w:r>
        <w:rPr>
          <w:rFonts w:ascii="Courier New" w:hAnsi="Courier New"/>
          <w:sz w:val="18"/>
        </w:rPr>
        <w:t>analytics.avif    ← image file</w:t>
        <w:br/>
        <w:t>assets.woff       ← web font file</w:t>
      </w:r>
    </w:p>
    <w:p>
      <w:pPr>
        <w:pStyle w:val="ListBullet"/>
        <w:spacing w:after="40"/>
      </w:pPr>
      <w:r>
        <w:rPr>
          <w:sz w:val="21"/>
        </w:rPr>
        <w:t>Non-Terraform files increase repo size and confuse consumers about module scope</w:t>
      </w:r>
    </w:p>
    <w:p>
      <w:pPr>
        <w:pStyle w:val="ListBullet"/>
        <w:spacing w:after="40"/>
      </w:pPr>
      <w:r>
        <w:rPr>
          <w:sz w:val="21"/>
        </w:rPr>
        <w:t>Static asset files indicate the repo may have started as something else and been repurposed</w:t>
      </w:r>
    </w:p>
    <w:p>
      <w:pPr>
        <w:pStyle w:val="ListBullet"/>
        <w:spacing w:after="40"/>
      </w:pPr>
      <w:r>
        <w:rPr>
          <w:sz w:val="21"/>
        </w:rPr>
        <w:t>HCP registry will attempt to parse all files — non-TF files can cause unexpected behaviour</w:t>
      </w:r>
    </w:p>
    <w:p>
      <w:pPr>
        <w:pStyle w:val="ListBullet"/>
        <w:spacing w:after="40"/>
      </w:pPr>
      <w:r>
        <w:rPr>
          <w:sz w:val="21"/>
        </w:rPr>
        <w:t>The 'test' prefix in the workspace name confirms this module is not production-ready</w:t>
      </w:r>
    </w:p>
    <w:p>
      <w:pPr>
        <w:spacing w:after="120"/>
        <w:ind w:left="432"/>
      </w:pPr>
      <w:r>
        <w:rPr>
          <w:b/>
          <w:color w:val="C00000"/>
          <w:sz w:val="21"/>
        </w:rPr>
        <w:t xml:space="preserve">Solution: </w:t>
      </w:r>
      <w:r>
        <w:rPr>
          <w:b/>
          <w:i/>
          <w:color w:val="C00000"/>
          <w:sz w:val="21"/>
        </w:rPr>
        <w:t>Remove analytics.avif and assets.woff from the repo. Add *.avif, *.woff to .gitignore. Do not publish this module to HCP registry until fully remediated and renamed.</w:t>
      </w:r>
    </w:p>
    <w:p>
      <w:pPr>
        <w:spacing w:before="160" w:after="40"/>
      </w:pPr>
      <w:r>
        <w:rPr>
          <w:b/>
          <w:color w:val="BF5000"/>
          <w:sz w:val="24"/>
        </w:rPr>
        <w:t>Issue 6: Documentation Quality Varies</w:t>
      </w:r>
    </w:p>
    <w:p>
      <w:pPr>
        <w:spacing w:after="80"/>
      </w:pPr>
      <w:r>
        <w:rPr>
          <w:b w:val="0"/>
          <w:sz w:val="21"/>
        </w:rPr>
        <w:t>README.md is present across all modules (consistent) but completeness is unclear from screenshots:</w:t>
      </w:r>
    </w:p>
    <w:p>
      <w:pPr>
        <w:pStyle w:val="ListBullet"/>
        <w:spacing w:after="40"/>
      </w:pPr>
      <w:r>
        <w:rPr>
          <w:sz w:val="21"/>
        </w:rPr>
        <w:t>Not clear if examples show all parameter combinations (required + optional)</w:t>
      </w:r>
    </w:p>
    <w:p>
      <w:pPr>
        <w:pStyle w:val="ListBullet"/>
        <w:spacing w:after="40"/>
      </w:pPr>
      <w:r>
        <w:rPr>
          <w:sz w:val="21"/>
        </w:rPr>
        <w:t>Not clear if README documents which variables are required vs optional</w:t>
      </w:r>
    </w:p>
    <w:p>
      <w:pPr>
        <w:pStyle w:val="ListBullet"/>
        <w:spacing w:after="40"/>
      </w:pPr>
      <w:r>
        <w:rPr>
          <w:sz w:val="21"/>
        </w:rPr>
        <w:t>Not clear if use case patterns (simple case vs full featured case) are documented</w:t>
      </w:r>
    </w:p>
    <w:p>
      <w:pPr>
        <w:pStyle w:val="ListBullet"/>
        <w:spacing w:after="40"/>
      </w:pPr>
      <w:r>
        <w:rPr>
          <w:sz w:val="21"/>
        </w:rPr>
        <w:t>Container Agent and Private DNS — BASIC/INCOMPLETE modules — likely have minimal README content</w:t>
      </w:r>
    </w:p>
    <w:p>
      <w:pPr>
        <w:spacing w:after="120"/>
        <w:ind w:left="432"/>
      </w:pPr>
      <w:r>
        <w:rPr>
          <w:b/>
          <w:color w:val="C00000"/>
          <w:sz w:val="21"/>
        </w:rPr>
        <w:t xml:space="preserve">Solution: </w:t>
      </w:r>
      <w:r>
        <w:rPr>
          <w:b/>
          <w:i/>
          <w:color w:val="C00000"/>
          <w:sz w:val="21"/>
        </w:rPr>
        <w:t>Apply Pattern 4 (Documentation) consistently. README must cover: what the module does, what it does NOT do, required variables, optional features, usage examples, and outputs.</w:t>
      </w:r>
    </w:p>
    <w:p>
      <w:r>
        <w:br w:type="page"/>
      </w:r>
    </w:p>
    <w:p>
      <w:pPr>
        <w:spacing w:before="280" w:after="80"/>
        <w:pBdr>
          <w:bottom w:val="single" w:sz="6" w:space="1" w:color="1F4E79"/>
        </w:pBdr>
      </w:pPr>
      <w:r>
        <w:rPr>
          <w:b/>
          <w:color w:val="1F4E79"/>
          <w:sz w:val="32"/>
        </w:rPr>
        <w:t>Repository Strategy: Distributed vs Monorepo</w:t>
      </w:r>
    </w:p>
    <w:p>
      <w:pPr>
        <w:spacing w:after="80"/>
      </w:pPr>
      <w:r>
        <w:rPr>
          <w:b w:val="0"/>
          <w:sz w:val="21"/>
        </w:rPr>
        <w:t>Compeer's Choice: Distributed (separate repo per module)</w:t>
      </w:r>
    </w:p>
    <w:p>
      <w:pPr>
        <w:spacing w:after="80"/>
      </w:pPr>
      <w:r>
        <w:rPr>
          <w:b/>
          <w:sz w:val="21"/>
        </w:rPr>
        <w:t>This is CORRECT for enterprise reusability. Rationale:</w:t>
      </w:r>
    </w:p>
    <w:p>
      <w:pPr>
        <w:pStyle w:val="ListBullet"/>
        <w:spacing w:after="40"/>
      </w:pPr>
      <w:r>
        <w:rPr>
          <w:sz w:val="21"/>
        </w:rPr>
        <w:t>Versioning: Each module can version independently (v1.0, v1.1, v2.0) without affecting other modules</w:t>
      </w:r>
    </w:p>
    <w:p>
      <w:pPr>
        <w:pStyle w:val="ListBullet"/>
        <w:spacing w:after="40"/>
      </w:pPr>
      <w:r>
        <w:rPr>
          <w:sz w:val="21"/>
        </w:rPr>
        <w:t>Publishing: Publish each module to HCP registry separately — consuming teams choose versions they pin</w:t>
      </w:r>
    </w:p>
    <w:p>
      <w:pPr>
        <w:pStyle w:val="ListBullet"/>
        <w:spacing w:after="40"/>
      </w:pPr>
      <w:r>
        <w:rPr>
          <w:sz w:val="21"/>
        </w:rPr>
        <w:t>Dependency Management: Clear separation, no coupled deployments between unrelated resources</w:t>
      </w:r>
    </w:p>
    <w:p>
      <w:pPr>
        <w:pStyle w:val="ListBullet"/>
        <w:spacing w:after="40"/>
      </w:pPr>
      <w:r>
        <w:rPr>
          <w:sz w:val="21"/>
        </w:rPr>
        <w:t>Team isolation: Teams can fork/customise a module without affecting other module consumers</w:t>
      </w:r>
    </w:p>
    <w:p>
      <w:pPr>
        <w:pStyle w:val="ListBullet"/>
        <w:spacing w:after="40"/>
      </w:pPr>
      <w:r>
        <w:rPr>
          <w:sz w:val="21"/>
        </w:rPr>
        <w:t>CI/CD: Each module has its own pipeline with fast, focused validation</w:t>
      </w:r>
    </w:p>
    <w:p/>
    <w:p>
      <w:pPr>
        <w:spacing w:after="80"/>
      </w:pPr>
      <w:r>
        <w:rPr>
          <w:b/>
          <w:sz w:val="21"/>
        </w:rPr>
        <w:t>Consuming Pattern (Environment-Specific Projects):</w:t>
      </w:r>
    </w:p>
    <w:p>
      <w:pPr>
        <w:pStyle w:val="ListBullet"/>
        <w:spacing w:after="40"/>
      </w:pPr>
      <w:r>
        <w:rPr>
          <w:sz w:val="21"/>
        </w:rPr>
        <w:t>Projects (e.g., pifm, online-apps, finserv) consume multiple modules from the HCP registry</w:t>
      </w:r>
    </w:p>
    <w:p>
      <w:pPr>
        <w:pStyle w:val="ListBullet"/>
        <w:spacing w:after="40"/>
      </w:pPr>
      <w:r>
        <w:rPr>
          <w:sz w:val="21"/>
        </w:rPr>
        <w:t>Projects pin specific module versions in their terraform required_providers or module source blocks</w:t>
      </w:r>
    </w:p>
    <w:p>
      <w:pPr>
        <w:pStyle w:val="ListBullet"/>
        <w:spacing w:after="40"/>
      </w:pPr>
      <w:r>
        <w:rPr>
          <w:sz w:val="21"/>
        </w:rPr>
        <w:t>Projects control when to upgrade — module updates are deliberate and tested before adoption</w:t>
      </w:r>
    </w:p>
    <w:p>
      <w:pPr>
        <w:pStyle w:val="ListBullet"/>
        <w:spacing w:after="40"/>
      </w:pPr>
      <w:r>
        <w:rPr>
          <w:sz w:val="21"/>
        </w:rPr>
        <w:t>Each project workspace in HCP runs its own plan/apply against pinned module versions</w:t>
      </w:r>
    </w:p>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F4E79"/>
          </w:tcPr>
          <w:p>
            <w:r/>
            <w:r>
              <w:rPr>
                <w:b/>
                <w:color w:val="FFFFFF"/>
                <w:sz w:val="21"/>
              </w:rPr>
              <w:t>Dimension</w:t>
            </w:r>
          </w:p>
        </w:tc>
        <w:tc>
          <w:tcPr>
            <w:tcW w:type="dxa" w:w="3600"/>
            <w:shd w:val="clear" w:color="auto" w:fill="1F4E79"/>
          </w:tcPr>
          <w:p>
            <w:r/>
            <w:r>
              <w:rPr>
                <w:b/>
                <w:color w:val="FFFFFF"/>
                <w:sz w:val="21"/>
              </w:rPr>
              <w:t>Distributed (Compeer's choice)</w:t>
            </w:r>
          </w:p>
        </w:tc>
        <w:tc>
          <w:tcPr>
            <w:tcW w:type="dxa" w:w="4464"/>
            <w:shd w:val="clear" w:color="auto" w:fill="1F4E79"/>
          </w:tcPr>
          <w:p>
            <w:r/>
            <w:r>
              <w:rPr>
                <w:b/>
                <w:color w:val="FFFFFF"/>
                <w:sz w:val="21"/>
              </w:rPr>
              <w:t>Monorepo (alternative)</w:t>
            </w:r>
          </w:p>
        </w:tc>
      </w:tr>
      <w:tr>
        <w:tc>
          <w:tcPr>
            <w:tcW w:type="dxa" w:w="3120"/>
            <w:shd w:val="clear" w:color="auto" w:fill="EBF3FB"/>
          </w:tcPr>
          <w:p>
            <w:r/>
            <w:r>
              <w:rPr>
                <w:b/>
                <w:sz w:val="20"/>
              </w:rPr>
              <w:t>Versioning</w:t>
            </w:r>
          </w:p>
        </w:tc>
        <w:tc>
          <w:tcPr>
            <w:tcW w:type="dxa" w:w="3120"/>
            <w:shd w:val="clear" w:color="auto" w:fill="E2EFDA"/>
          </w:tcPr>
          <w:p>
            <w:r/>
            <w:r>
              <w:rPr>
                <w:color w:val="375A10"/>
                <w:sz w:val="20"/>
              </w:rPr>
              <w:t>Independent per module — teams choose versions</w:t>
            </w:r>
          </w:p>
        </w:tc>
        <w:tc>
          <w:tcPr>
            <w:tcW w:type="dxa" w:w="3120"/>
            <w:shd w:val="clear" w:color="auto" w:fill="EBF3FB"/>
          </w:tcPr>
          <w:p>
            <w:r/>
            <w:r>
              <w:rPr>
                <w:sz w:val="20"/>
              </w:rPr>
              <w:t>All modules version together — one change affects all</w:t>
            </w:r>
          </w:p>
        </w:tc>
      </w:tr>
      <w:tr>
        <w:tc>
          <w:tcPr>
            <w:tcW w:type="dxa" w:w="3120"/>
            <w:shd w:val="clear" w:color="auto" w:fill="FFFFFF"/>
          </w:tcPr>
          <w:p>
            <w:r/>
            <w:r>
              <w:rPr>
                <w:b/>
                <w:sz w:val="20"/>
              </w:rPr>
              <w:t>Registry publish</w:t>
            </w:r>
          </w:p>
        </w:tc>
        <w:tc>
          <w:tcPr>
            <w:tcW w:type="dxa" w:w="3120"/>
            <w:shd w:val="clear" w:color="auto" w:fill="E2EFDA"/>
          </w:tcPr>
          <w:p>
            <w:r/>
            <w:r>
              <w:rPr>
                <w:color w:val="375A10"/>
                <w:sz w:val="20"/>
              </w:rPr>
              <w:t>Each module published separately with own changelog</w:t>
            </w:r>
          </w:p>
        </w:tc>
        <w:tc>
          <w:tcPr>
            <w:tcW w:type="dxa" w:w="3120"/>
            <w:shd w:val="clear" w:color="auto" w:fill="FFFFFF"/>
          </w:tcPr>
          <w:p>
            <w:r/>
            <w:r>
              <w:rPr>
                <w:sz w:val="20"/>
              </w:rPr>
              <w:t>Entire library published as one — harder to track changes</w:t>
            </w:r>
          </w:p>
        </w:tc>
      </w:tr>
      <w:tr>
        <w:tc>
          <w:tcPr>
            <w:tcW w:type="dxa" w:w="3120"/>
            <w:shd w:val="clear" w:color="auto" w:fill="EBF3FB"/>
          </w:tcPr>
          <w:p>
            <w:r/>
            <w:r>
              <w:rPr>
                <w:b/>
                <w:sz w:val="20"/>
              </w:rPr>
              <w:t>Team isolation</w:t>
            </w:r>
          </w:p>
        </w:tc>
        <w:tc>
          <w:tcPr>
            <w:tcW w:type="dxa" w:w="3120"/>
            <w:shd w:val="clear" w:color="auto" w:fill="E2EFDA"/>
          </w:tcPr>
          <w:p>
            <w:r/>
            <w:r>
              <w:rPr>
                <w:color w:val="375A10"/>
                <w:sz w:val="20"/>
              </w:rPr>
              <w:t>Fork one module without affecting others</w:t>
            </w:r>
          </w:p>
        </w:tc>
        <w:tc>
          <w:tcPr>
            <w:tcW w:type="dxa" w:w="3120"/>
            <w:shd w:val="clear" w:color="auto" w:fill="EBF3FB"/>
          </w:tcPr>
          <w:p>
            <w:r/>
            <w:r>
              <w:rPr>
                <w:sz w:val="20"/>
              </w:rPr>
              <w:t>Changes to shared code affect every consumer</w:t>
            </w:r>
          </w:p>
        </w:tc>
      </w:tr>
      <w:tr>
        <w:tc>
          <w:tcPr>
            <w:tcW w:type="dxa" w:w="3120"/>
            <w:shd w:val="clear" w:color="auto" w:fill="FFFFFF"/>
          </w:tcPr>
          <w:p>
            <w:r/>
            <w:r>
              <w:rPr>
                <w:b/>
                <w:sz w:val="20"/>
              </w:rPr>
              <w:t>CI/CD speed</w:t>
            </w:r>
          </w:p>
        </w:tc>
        <w:tc>
          <w:tcPr>
            <w:tcW w:type="dxa" w:w="3120"/>
            <w:shd w:val="clear" w:color="auto" w:fill="E2EFDA"/>
          </w:tcPr>
          <w:p>
            <w:r/>
            <w:r>
              <w:rPr>
                <w:color w:val="375A10"/>
                <w:sz w:val="20"/>
              </w:rPr>
              <w:t>Fast — only the changed module is validated</w:t>
            </w:r>
          </w:p>
        </w:tc>
        <w:tc>
          <w:tcPr>
            <w:tcW w:type="dxa" w:w="3120"/>
            <w:shd w:val="clear" w:color="auto" w:fill="FFFFFF"/>
          </w:tcPr>
          <w:p>
            <w:r/>
            <w:r>
              <w:rPr>
                <w:sz w:val="20"/>
              </w:rPr>
              <w:t>Slow — entire library must be re-validated on each change</w:t>
            </w:r>
          </w:p>
        </w:tc>
      </w:tr>
      <w:tr>
        <w:tc>
          <w:tcPr>
            <w:tcW w:type="dxa" w:w="3120"/>
            <w:shd w:val="clear" w:color="auto" w:fill="EBF3FB"/>
          </w:tcPr>
          <w:p>
            <w:r/>
            <w:r>
              <w:rPr>
                <w:b/>
                <w:sz w:val="20"/>
              </w:rPr>
              <w:t>Onboarding</w:t>
            </w:r>
          </w:p>
        </w:tc>
        <w:tc>
          <w:tcPr>
            <w:tcW w:type="dxa" w:w="3120"/>
            <w:shd w:val="clear" w:color="auto" w:fill="E2EFDA"/>
          </w:tcPr>
          <w:p>
            <w:r/>
            <w:r>
              <w:rPr>
                <w:color w:val="375A10"/>
                <w:sz w:val="20"/>
              </w:rPr>
              <w:t>Teams pick only the modules they need</w:t>
            </w:r>
          </w:p>
        </w:tc>
        <w:tc>
          <w:tcPr>
            <w:tcW w:type="dxa" w:w="3120"/>
            <w:shd w:val="clear" w:color="auto" w:fill="EBF3FB"/>
          </w:tcPr>
          <w:p>
            <w:r/>
            <w:r>
              <w:rPr>
                <w:sz w:val="20"/>
              </w:rPr>
              <w:t>Teams clone the full library even for one module</w:t>
            </w:r>
          </w:p>
        </w:tc>
      </w:tr>
      <w:tr>
        <w:tc>
          <w:tcPr>
            <w:tcW w:type="dxa" w:w="3120"/>
            <w:shd w:val="clear" w:color="auto" w:fill="FFFFFF"/>
          </w:tcPr>
          <w:p>
            <w:r/>
            <w:r>
              <w:rPr>
                <w:b/>
                <w:sz w:val="20"/>
              </w:rPr>
              <w:t>Drift risk</w:t>
            </w:r>
          </w:p>
        </w:tc>
        <w:tc>
          <w:tcPr>
            <w:tcW w:type="dxa" w:w="3120"/>
            <w:shd w:val="clear" w:color="auto" w:fill="E2EFDA"/>
          </w:tcPr>
          <w:p>
            <w:r/>
            <w:r>
              <w:rPr>
                <w:color w:val="375A10"/>
                <w:sz w:val="20"/>
              </w:rPr>
              <w:t>Low — pinned versions prevent unintentional drift</w:t>
            </w:r>
          </w:p>
        </w:tc>
        <w:tc>
          <w:tcPr>
            <w:tcW w:type="dxa" w:w="3120"/>
            <w:shd w:val="clear" w:color="auto" w:fill="FFFFFF"/>
          </w:tcPr>
          <w:p>
            <w:r/>
            <w:r>
              <w:rPr>
                <w:sz w:val="20"/>
              </w:rPr>
              <w:t>Higher — callers on relative paths get every change</w:t>
            </w:r>
          </w:p>
        </w:tc>
      </w:tr>
    </w:tbl>
    <w:p>
      <w:r>
        <w:br w:type="page"/>
      </w:r>
    </w:p>
    <w:p>
      <w:pPr>
        <w:spacing w:before="280" w:after="80"/>
        <w:pBdr>
          <w:bottom w:val="single" w:sz="6" w:space="1" w:color="1F4E79"/>
        </w:pBdr>
      </w:pPr>
      <w:r>
        <w:rPr>
          <w:b/>
          <w:color w:val="1F4E79"/>
          <w:sz w:val="32"/>
        </w:rPr>
        <w:t>Enterprise Module Patterns</w:t>
      </w:r>
    </w:p>
    <w:p>
      <w:pPr>
        <w:spacing w:after="80"/>
      </w:pPr>
      <w:r>
        <w:rPr>
          <w:b w:val="0"/>
          <w:sz w:val="21"/>
        </w:rPr>
        <w:t>The following patterns must be applied uniformly across all Compeer modules. Modules must meet all patterns before being published to the HCP Private Module Registry.</w:t>
      </w:r>
    </w:p>
    <w:p>
      <w:pPr>
        <w:spacing w:before="160" w:after="40"/>
      </w:pPr>
      <w:r>
        <w:rPr>
          <w:b/>
          <w:color w:val="1F6B6B"/>
          <w:sz w:val="24"/>
        </w:rPr>
        <w:t>Pattern 1: Module File Structure</w:t>
      </w:r>
    </w:p>
    <w:p>
      <w:pPr>
        <w:spacing w:after="80"/>
      </w:pPr>
      <w:r>
        <w:rPr>
          <w:b w:val="0"/>
          <w:sz w:val="21"/>
        </w:rPr>
        <w:t>Every module MUST contain these files — as observed consistently in the well-structured modules visible in screenshots:</w:t>
      </w:r>
    </w:p>
    <w:p>
      <w:pPr>
        <w:pStyle w:val="ListBullet"/>
        <w:spacing w:after="40"/>
      </w:pPr>
      <w:r>
        <w:rPr>
          <w:rFonts w:ascii="Courier New" w:hAnsi="Courier New"/>
          <w:b/>
          <w:sz w:val="21"/>
        </w:rPr>
        <w:t xml:space="preserve">main.tf  —  </w:t>
      </w:r>
      <w:r>
        <w:rPr>
          <w:sz w:val="21"/>
        </w:rPr>
        <w:t>Primary resource definitions</w:t>
      </w:r>
    </w:p>
    <w:p>
      <w:pPr>
        <w:pStyle w:val="ListBullet"/>
        <w:spacing w:after="40"/>
      </w:pPr>
      <w:r>
        <w:rPr>
          <w:rFonts w:ascii="Courier New" w:hAnsi="Courier New"/>
          <w:b/>
          <w:sz w:val="21"/>
        </w:rPr>
        <w:t xml:space="preserve">variables.tf  —  </w:t>
      </w:r>
      <w:r>
        <w:rPr>
          <w:sz w:val="21"/>
        </w:rPr>
        <w:t>All input variable declarations with type, description, and default or required</w:t>
      </w:r>
    </w:p>
    <w:p>
      <w:pPr>
        <w:pStyle w:val="ListBullet"/>
        <w:spacing w:after="40"/>
      </w:pPr>
      <w:r>
        <w:rPr>
          <w:rFonts w:ascii="Courier New" w:hAnsi="Courier New"/>
          <w:b/>
          <w:sz w:val="21"/>
        </w:rPr>
        <w:t xml:space="preserve">outputs.tf  —  </w:t>
      </w:r>
      <w:r>
        <w:rPr>
          <w:sz w:val="21"/>
        </w:rPr>
        <w:t>All output value definitions — never define outputs in main.tf</w:t>
      </w:r>
    </w:p>
    <w:p>
      <w:pPr>
        <w:pStyle w:val="ListBullet"/>
        <w:spacing w:after="40"/>
      </w:pPr>
      <w:r>
        <w:rPr>
          <w:rFonts w:ascii="Courier New" w:hAnsi="Courier New"/>
          <w:b/>
          <w:sz w:val="21"/>
        </w:rPr>
        <w:t xml:space="preserve">versions.tf  —  </w:t>
      </w:r>
      <w:r>
        <w:rPr>
          <w:sz w:val="21"/>
        </w:rPr>
        <w:t>required_providers block with version constraints — NOT requirements.tf</w:t>
      </w:r>
    </w:p>
    <w:p>
      <w:pPr>
        <w:pStyle w:val="ListBullet"/>
        <w:spacing w:after="40"/>
      </w:pPr>
      <w:r>
        <w:rPr>
          <w:rFonts w:ascii="Courier New" w:hAnsi="Courier New"/>
          <w:b/>
          <w:sz w:val="21"/>
        </w:rPr>
        <w:t xml:space="preserve">azure-pipelines.yml  —  </w:t>
      </w:r>
      <w:r>
        <w:rPr>
          <w:sz w:val="21"/>
        </w:rPr>
        <w:t>CI/CD pipeline for fmt-check, validate, tflint, checkov, and test stages</w:t>
      </w:r>
    </w:p>
    <w:p>
      <w:pPr>
        <w:pStyle w:val="ListBullet"/>
        <w:spacing w:after="40"/>
      </w:pPr>
      <w:r>
        <w:rPr>
          <w:rFonts w:ascii="Courier New" w:hAnsi="Courier New"/>
          <w:b/>
          <w:sz w:val="21"/>
        </w:rPr>
        <w:t xml:space="preserve">README.md  —  </w:t>
      </w:r>
      <w:r>
        <w:rPr>
          <w:sz w:val="21"/>
        </w:rPr>
        <w:t>Module documentation — see Pattern 4</w:t>
      </w:r>
    </w:p>
    <w:p>
      <w:pPr>
        <w:pStyle w:val="ListBullet"/>
        <w:spacing w:after="40"/>
      </w:pPr>
      <w:r>
        <w:rPr>
          <w:rFonts w:ascii="Courier New" w:hAnsi="Courier New"/>
          <w:b/>
          <w:sz w:val="21"/>
        </w:rPr>
        <w:t xml:space="preserve">test/  —  </w:t>
      </w:r>
      <w:r>
        <w:rPr>
          <w:sz w:val="21"/>
        </w:rPr>
        <w:t>Terraform test files (.go) for automated validation</w:t>
      </w:r>
    </w:p>
    <w:p>
      <w:pPr>
        <w:spacing w:after="80"/>
      </w:pPr>
      <w:r>
        <w:rPr>
          <w:b w:val="0"/>
          <w:sz w:val="21"/>
        </w:rPr>
        <w:br/>
        <w:t>Tags: Always accept tags as a variable of type map(string). Merge with any module-level defaults. Never hardcode tag values inside a module.</w:t>
      </w:r>
    </w:p>
    <w:p>
      <w:pPr>
        <w:spacing w:before="160" w:after="40"/>
      </w:pPr>
      <w:r>
        <w:rPr>
          <w:b/>
          <w:color w:val="1F6B6B"/>
          <w:sz w:val="24"/>
        </w:rPr>
        <w:t>Pattern 2: Variable Naming Convention</w:t>
      </w:r>
    </w:p>
    <w:p>
      <w:pPr>
        <w:spacing w:after="80"/>
      </w:pPr>
      <w:r>
        <w:rPr>
          <w:b w:val="0"/>
          <w:sz w:val="21"/>
        </w:rPr>
        <w:t>Consistent naming across all modules for predictability when consuming from the registry:</w:t>
      </w:r>
    </w:p>
    <w:p>
      <w:pPr>
        <w:pStyle w:val="ListBullet"/>
        <w:spacing w:after="40"/>
      </w:pPr>
      <w:r>
        <w:rPr>
          <w:b/>
          <w:sz w:val="21"/>
        </w:rPr>
        <w:t>resource_group_name</w:t>
      </w:r>
      <w:r>
        <w:rPr>
          <w:sz w:val="21"/>
        </w:rPr>
        <w:t xml:space="preserve"> (always present, required, string)</w:t>
      </w:r>
    </w:p>
    <w:p>
      <w:pPr>
        <w:pStyle w:val="ListBullet"/>
        <w:spacing w:after="40"/>
      </w:pPr>
      <w:r>
        <w:rPr>
          <w:b/>
          <w:sz w:val="21"/>
        </w:rPr>
        <w:t>location</w:t>
      </w:r>
      <w:r>
        <w:rPr>
          <w:sz w:val="21"/>
        </w:rPr>
        <w:t xml:space="preserve"> (always present, required, string)</w:t>
      </w:r>
    </w:p>
    <w:p>
      <w:pPr>
        <w:pStyle w:val="ListBullet"/>
        <w:spacing w:after="40"/>
      </w:pPr>
      <w:r>
        <w:rPr>
          <w:b/>
          <w:sz w:val="21"/>
        </w:rPr>
        <w:t>environment</w:t>
      </w:r>
      <w:r>
        <w:rPr>
          <w:sz w:val="21"/>
        </w:rPr>
        <w:t xml:space="preserve"> (for naming conventions, e.g., -dev, -prod)</w:t>
      </w:r>
    </w:p>
    <w:p>
      <w:pPr>
        <w:pStyle w:val="ListBullet"/>
        <w:spacing w:after="40"/>
      </w:pPr>
      <w:r>
        <w:rPr>
          <w:b/>
          <w:sz w:val="21"/>
        </w:rPr>
        <w:t>tags</w:t>
      </w:r>
      <w:r>
        <w:rPr>
          <w:sz w:val="21"/>
        </w:rPr>
        <w:t xml:space="preserve"> (always present, map(string), default = {})</w:t>
      </w:r>
    </w:p>
    <w:p>
      <w:pPr>
        <w:pStyle w:val="ListBullet"/>
        <w:spacing w:after="40"/>
      </w:pPr>
      <w:r>
        <w:rPr>
          <w:b/>
          <w:sz w:val="21"/>
        </w:rPr>
        <w:t>&lt;resource&gt;_name</w:t>
      </w:r>
      <w:r>
        <w:rPr>
          <w:sz w:val="21"/>
        </w:rPr>
        <w:t xml:space="preserve"> (module-specific, e.g., database_name, topic_name)</w:t>
      </w:r>
    </w:p>
    <w:p>
      <w:pPr>
        <w:pStyle w:val="ListBullet"/>
        <w:spacing w:after="40"/>
      </w:pPr>
      <w:r>
        <w:rPr>
          <w:b/>
          <w:sz w:val="21"/>
        </w:rPr>
        <w:t>&lt;feature&gt;_enabled</w:t>
      </w:r>
      <w:r>
        <w:rPr>
          <w:sz w:val="21"/>
        </w:rPr>
        <w:t xml:space="preserve"> (optional boolean feature toggle, defaults to false)</w:t>
      </w:r>
    </w:p>
    <w:p>
      <w:pPr>
        <w:pStyle w:val="ListBullet"/>
        <w:spacing w:after="40"/>
      </w:pPr>
      <w:r>
        <w:rPr>
          <w:b/>
          <w:sz w:val="21"/>
        </w:rPr>
        <w:t>&lt;feature&gt;_config</w:t>
      </w:r>
      <w:r>
        <w:rPr>
          <w:sz w:val="21"/>
        </w:rPr>
        <w:t xml:space="preserve"> (optional object for complex nested configuration)</w:t>
      </w:r>
    </w:p>
    <w:p>
      <w:pPr>
        <w:spacing w:before="160" w:after="40"/>
      </w:pPr>
      <w:r>
        <w:rPr>
          <w:b/>
          <w:color w:val="1F6B6B"/>
          <w:sz w:val="24"/>
        </w:rPr>
        <w:t>Pattern 3: Testing &amp; Validation</w:t>
      </w:r>
    </w:p>
    <w:p>
      <w:pPr>
        <w:spacing w:after="80"/>
      </w:pPr>
      <w:r>
        <w:rPr>
          <w:b w:val="0"/>
          <w:sz w:val="21"/>
        </w:rPr>
        <w:t>All modules MUST have test coverage — as observed via test.go files in the better-structured repos:</w:t>
      </w:r>
    </w:p>
    <w:p>
      <w:pPr>
        <w:pStyle w:val="ListBullet"/>
        <w:spacing w:after="40"/>
      </w:pPr>
      <w:r>
        <w:rPr>
          <w:sz w:val="21"/>
        </w:rPr>
        <w:t>Test valid inputs — module should successfully plan and apply with minimal required variables</w:t>
      </w:r>
    </w:p>
    <w:p>
      <w:pPr>
        <w:pStyle w:val="ListBullet"/>
        <w:spacing w:after="40"/>
      </w:pPr>
      <w:r>
        <w:rPr>
          <w:sz w:val="21"/>
        </w:rPr>
        <w:t>Test optional variables — both with and without optional configs enabled</w:t>
      </w:r>
    </w:p>
    <w:p>
      <w:pPr>
        <w:pStyle w:val="ListBullet"/>
        <w:spacing w:after="40"/>
      </w:pPr>
      <w:r>
        <w:rPr>
          <w:sz w:val="21"/>
        </w:rPr>
        <w:t>Test dynamic blocks — edge case: empty list or map should not cause plan failure</w:t>
      </w:r>
    </w:p>
    <w:p>
      <w:pPr>
        <w:pStyle w:val="ListBullet"/>
        <w:spacing w:after="40"/>
      </w:pPr>
      <w:r>
        <w:rPr>
          <w:sz w:val="21"/>
        </w:rPr>
        <w:t>Test backward compatibility — v1.0.x callers should continue to work after a v1.1.0 update</w:t>
      </w:r>
    </w:p>
    <w:p>
      <w:pPr>
        <w:pStyle w:val="ListBullet"/>
        <w:spacing w:after="40"/>
      </w:pPr>
      <w:r>
        <w:rPr>
          <w:sz w:val="21"/>
        </w:rPr>
        <w:t>Tests must run on EVERY PR — module cannot be tagged or published without passing all tests</w:t>
      </w:r>
    </w:p>
    <w:p>
      <w:pPr>
        <w:pStyle w:val="ListBullet"/>
        <w:spacing w:after="40"/>
      </w:pPr>
      <w:r>
        <w:rPr>
          <w:sz w:val="21"/>
        </w:rPr>
        <w:t>Never hardcode real credentials in test files — use environment variables or mocked values</w:t>
      </w:r>
    </w:p>
    <w:p>
      <w:pPr>
        <w:spacing w:before="160" w:after="40"/>
      </w:pPr>
      <w:r>
        <w:rPr>
          <w:b/>
          <w:color w:val="1F6B6B"/>
          <w:sz w:val="24"/>
        </w:rPr>
        <w:t>Pattern 4: Documentation</w:t>
      </w:r>
    </w:p>
    <w:p>
      <w:pPr>
        <w:spacing w:after="80"/>
      </w:pPr>
      <w:r>
        <w:rPr>
          <w:b w:val="0"/>
          <w:sz w:val="21"/>
        </w:rPr>
        <w:t>README.md MUST document:</w:t>
      </w:r>
    </w:p>
    <w:p>
      <w:pPr>
        <w:pStyle w:val="ListBullet"/>
        <w:spacing w:after="40"/>
      </w:pPr>
      <w:r>
        <w:rPr>
          <w:sz w:val="21"/>
        </w:rPr>
        <w:t>What the module does (1-2 sentences) and what it does NOT do (explicit scope boundary)</w:t>
      </w:r>
    </w:p>
    <w:p>
      <w:pPr>
        <w:pStyle w:val="ListBullet"/>
        <w:spacing w:after="40"/>
      </w:pPr>
      <w:r>
        <w:rPr>
          <w:sz w:val="21"/>
        </w:rPr>
        <w:t>Minimal required variables: resource_group_name, location, tags</w:t>
      </w:r>
    </w:p>
    <w:p>
      <w:pPr>
        <w:pStyle w:val="ListBullet"/>
        <w:spacing w:after="40"/>
      </w:pPr>
      <w:r>
        <w:rPr>
          <w:sz w:val="21"/>
        </w:rPr>
        <w:t>Optional features — which variables enable them and what their defaults are</w:t>
      </w:r>
    </w:p>
    <w:p>
      <w:pPr>
        <w:pStyle w:val="ListBullet"/>
        <w:spacing w:after="40"/>
      </w:pPr>
      <w:r>
        <w:rPr>
          <w:sz w:val="21"/>
        </w:rPr>
        <w:t>Usage examples: simple case (required variables only) and complex case (all optional features on)</w:t>
      </w:r>
    </w:p>
    <w:p>
      <w:pPr>
        <w:pStyle w:val="ListBullet"/>
        <w:spacing w:after="40"/>
      </w:pPr>
      <w:r>
        <w:rPr>
          <w:sz w:val="21"/>
        </w:rPr>
        <w:t>Outputs — what the module returns and how to reference each output in a consuming project</w:t>
      </w:r>
    </w:p>
    <w:p>
      <w:pPr>
        <w:spacing w:before="160" w:after="40"/>
      </w:pPr>
      <w:r>
        <w:rPr>
          <w:b/>
          <w:color w:val="1F6B6B"/>
          <w:sz w:val="24"/>
        </w:rPr>
        <w:t>Pattern 5: Versioning &amp; Publishing to HCP Private Registry</w:t>
      </w:r>
    </w:p>
    <w:p>
      <w:pPr>
        <w:spacing w:after="80"/>
      </w:pPr>
      <w:r>
        <w:rPr>
          <w:b w:val="0"/>
          <w:sz w:val="21"/>
        </w:rPr>
        <w:t>Semantic versioning with automated HCP registry publishing:</w:t>
      </w:r>
    </w:p>
    <w:p>
      <w:pPr>
        <w:pStyle w:val="ListBullet"/>
        <w:spacing w:after="40"/>
      </w:pPr>
      <w:r>
        <w:rPr>
          <w:sz w:val="21"/>
        </w:rPr>
        <w:t>v1.0.0  —  Initial release: all core features exposed, CI/CD passes, README complete</w:t>
      </w:r>
    </w:p>
    <w:p>
      <w:pPr>
        <w:pStyle w:val="ListBullet"/>
        <w:spacing w:after="40"/>
      </w:pPr>
      <w:r>
        <w:rPr>
          <w:sz w:val="21"/>
        </w:rPr>
        <w:t>v1.1.0  —  Add optional features: backward compatible, new optional variables only</w:t>
      </w:r>
    </w:p>
    <w:p>
      <w:pPr>
        <w:pStyle w:val="ListBullet"/>
        <w:spacing w:after="40"/>
      </w:pPr>
      <w:r>
        <w:rPr>
          <w:sz w:val="21"/>
        </w:rPr>
        <w:t>v1.1.1  —  Bug fix: no variable or output interface changes</w:t>
      </w:r>
    </w:p>
    <w:p>
      <w:pPr>
        <w:pStyle w:val="ListBullet"/>
        <w:spacing w:after="40"/>
      </w:pPr>
      <w:r>
        <w:rPr>
          <w:sz w:val="21"/>
        </w:rPr>
        <w:t>v2.0.0  —  Breaking change: renamed variable, changed default, or removed output</w:t>
      </w:r>
    </w:p>
    <w:p>
      <w:pPr>
        <w:pStyle w:val="ListBullet"/>
        <w:spacing w:after="40"/>
      </w:pPr>
      <w:r>
        <w:rPr>
          <w:sz w:val="21"/>
        </w:rPr>
        <w:t>Consuming projects pin to ~&gt; 1.0 (pessimistic constraint: &gt;= 1.0, &lt; 2.0)</w:t>
      </w:r>
    </w:p>
    <w:p>
      <w:pPr>
        <w:pStyle w:val="ListBullet"/>
        <w:spacing w:after="40"/>
      </w:pPr>
      <w:r>
        <w:rPr>
          <w:sz w:val="21"/>
        </w:rPr>
        <w:t>azure-pipelines.yml post-merge stage: tag the release and trigger HCP registry publish</w:t>
      </w:r>
    </w:p>
    <w:p>
      <w:pPr>
        <w:spacing w:after="80"/>
        <w:ind w:left="432"/>
        <w:shd w:val="clear" w:color="auto" w:fill="F0F0F0"/>
      </w:pPr>
      <w:r>
        <w:rPr>
          <w:rFonts w:ascii="Courier New" w:hAnsi="Courier New"/>
          <w:sz w:val="18"/>
        </w:rPr>
        <w:t># Example: consuming project referencing a Compeer registry module</w:t>
        <w:br/>
        <w:t>module "mssql" {</w:t>
        <w:br/>
        <w:t xml:space="preserve">  source  = "app.terraform.io/compeer/mssql-database/azurerm"</w:t>
        <w:br/>
        <w:t xml:space="preserve">  version = "~&gt; 1.0"</w:t>
        <w:br/>
        <w:br/>
        <w:t xml:space="preserve">  resource_group_name = var.resource_group_name</w:t>
        <w:br/>
        <w:t xml:space="preserve">  location            = var.location</w:t>
        <w:br/>
        <w:t xml:space="preserve">  environment         = var.environment</w:t>
        <w:br/>
        <w:t xml:space="preserve">  tags                = var.tags</w:t>
        <w:br/>
        <w:t>}</w:t>
      </w:r>
    </w:p>
    <w:p>
      <w:r>
        <w:br w:type="page"/>
      </w:r>
    </w:p>
    <w:p>
      <w:pPr>
        <w:spacing w:before="280" w:after="80"/>
        <w:pBdr>
          <w:bottom w:val="single" w:sz="6" w:space="1" w:color="1F4E79"/>
        </w:pBdr>
      </w:pPr>
      <w:r>
        <w:rPr>
          <w:b/>
          <w:color w:val="1F4E79"/>
          <w:sz w:val="32"/>
        </w:rPr>
        <w:t>Module Readiness Summary</w:t>
      </w:r>
    </w:p>
    <w:p>
      <w:pPr>
        <w:spacing w:after="80"/>
      </w:pPr>
      <w:r>
        <w:rPr>
          <w:b w:val="0"/>
          <w:sz w:val="21"/>
        </w:rPr>
        <w:t>Readiness for HCP Private Module Registry publication based on screenshot analysis:</w:t>
      </w:r>
    </w:p>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color="auto" w:fill="1F4E79"/>
          </w:tcPr>
          <w:p>
            <w:r/>
            <w:r>
              <w:rPr>
                <w:b/>
                <w:color w:val="FFFFFF"/>
                <w:sz w:val="21"/>
              </w:rPr>
              <w:t>Module</w:t>
            </w:r>
          </w:p>
        </w:tc>
        <w:tc>
          <w:tcPr>
            <w:tcW w:type="dxa" w:w="1440"/>
            <w:shd w:val="clear" w:color="auto" w:fill="1F4E79"/>
          </w:tcPr>
          <w:p>
            <w:r/>
            <w:r>
              <w:rPr>
                <w:b/>
                <w:color w:val="FFFFFF"/>
                <w:sz w:val="21"/>
              </w:rPr>
              <w:t>Status</w:t>
            </w:r>
          </w:p>
        </w:tc>
        <w:tc>
          <w:tcPr>
            <w:tcW w:type="dxa" w:w="3600"/>
            <w:shd w:val="clear" w:color="auto" w:fill="1F4E79"/>
          </w:tcPr>
          <w:p>
            <w:r/>
            <w:r>
              <w:rPr>
                <w:b/>
                <w:color w:val="FFFFFF"/>
                <w:sz w:val="21"/>
              </w:rPr>
              <w:t>Blocker Before Publish</w:t>
            </w:r>
          </w:p>
        </w:tc>
        <w:tc>
          <w:tcPr>
            <w:tcW w:type="dxa" w:w="3168"/>
            <w:shd w:val="clear" w:color="auto" w:fill="1F4E79"/>
          </w:tcPr>
          <w:p>
            <w:r/>
            <w:r>
              <w:rPr>
                <w:b/>
                <w:color w:val="FFFFFF"/>
                <w:sz w:val="21"/>
              </w:rPr>
              <w:t>Effort</w:t>
            </w:r>
          </w:p>
        </w:tc>
      </w:tr>
      <w:tr>
        <w:tc>
          <w:tcPr>
            <w:tcW w:type="dxa" w:w="2340"/>
            <w:shd w:val="clear" w:color="auto" w:fill="EBF3FB"/>
          </w:tcPr>
          <w:p>
            <w:r/>
            <w:r>
              <w:rPr>
                <w:b/>
                <w:sz w:val="20"/>
              </w:rPr>
              <w:t>MSSQL Database</w:t>
            </w:r>
          </w:p>
        </w:tc>
        <w:tc>
          <w:tcPr>
            <w:tcW w:type="dxa" w:w="2340"/>
            <w:shd w:val="clear" w:color="auto" w:fill="375A10"/>
          </w:tcPr>
          <w:p>
            <w:r/>
            <w:r>
              <w:rPr>
                <w:b/>
                <w:color w:val="FFFFFF"/>
                <w:sz w:val="21"/>
              </w:rPr>
              <w:t>EXCELLENT</w:t>
            </w:r>
          </w:p>
        </w:tc>
        <w:tc>
          <w:tcPr>
            <w:tcW w:type="dxa" w:w="2340"/>
            <w:shd w:val="clear" w:color="auto" w:fill="EBF3FB"/>
          </w:tcPr>
          <w:p>
            <w:r/>
            <w:r>
              <w:rPr>
                <w:color w:val="375A10"/>
                <w:sz w:val="20"/>
              </w:rPr>
              <w:t>None — ready to publish</w:t>
            </w:r>
          </w:p>
        </w:tc>
        <w:tc>
          <w:tcPr>
            <w:tcW w:type="dxa" w:w="2340"/>
            <w:shd w:val="clear" w:color="auto" w:fill="E2EFDA"/>
          </w:tcPr>
          <w:p>
            <w:r/>
            <w:r>
              <w:rPr>
                <w:b/>
                <w:color w:val="375A10"/>
                <w:sz w:val="21"/>
              </w:rPr>
              <w:t>None — publish now</w:t>
            </w:r>
          </w:p>
        </w:tc>
      </w:tr>
      <w:tr>
        <w:tc>
          <w:tcPr>
            <w:tcW w:type="dxa" w:w="2340"/>
            <w:shd w:val="clear" w:color="auto" w:fill="FFFFFF"/>
          </w:tcPr>
          <w:p>
            <w:r/>
            <w:r>
              <w:rPr>
                <w:b/>
                <w:sz w:val="20"/>
              </w:rPr>
              <w:t>Storage Account</w:t>
            </w:r>
          </w:p>
        </w:tc>
        <w:tc>
          <w:tcPr>
            <w:tcW w:type="dxa" w:w="2340"/>
            <w:shd w:val="clear" w:color="auto" w:fill="375A10"/>
          </w:tcPr>
          <w:p>
            <w:r/>
            <w:r>
              <w:rPr>
                <w:b/>
                <w:color w:val="FFFFFF"/>
                <w:sz w:val="21"/>
              </w:rPr>
              <w:t>EXCELLENT</w:t>
            </w:r>
          </w:p>
        </w:tc>
        <w:tc>
          <w:tcPr>
            <w:tcW w:type="dxa" w:w="2340"/>
            <w:shd w:val="clear" w:color="auto" w:fill="FFFFFF"/>
          </w:tcPr>
          <w:p>
            <w:r/>
            <w:r>
              <w:rPr>
                <w:color w:val="375A10"/>
                <w:sz w:val="20"/>
              </w:rPr>
              <w:t>None — ready to publish</w:t>
            </w:r>
          </w:p>
        </w:tc>
        <w:tc>
          <w:tcPr>
            <w:tcW w:type="dxa" w:w="2340"/>
            <w:shd w:val="clear" w:color="auto" w:fill="E2EFDA"/>
          </w:tcPr>
          <w:p>
            <w:r/>
            <w:r>
              <w:rPr>
                <w:b/>
                <w:color w:val="375A10"/>
                <w:sz w:val="21"/>
              </w:rPr>
              <w:t>None — publish now</w:t>
            </w:r>
          </w:p>
        </w:tc>
      </w:tr>
      <w:tr>
        <w:tc>
          <w:tcPr>
            <w:tcW w:type="dxa" w:w="2340"/>
            <w:shd w:val="clear" w:color="auto" w:fill="EBF3FB"/>
          </w:tcPr>
          <w:p>
            <w:r/>
            <w:r>
              <w:rPr>
                <w:b/>
                <w:sz w:val="20"/>
              </w:rPr>
              <w:t>Log Analytics</w:t>
            </w:r>
          </w:p>
        </w:tc>
        <w:tc>
          <w:tcPr>
            <w:tcW w:type="dxa" w:w="2340"/>
            <w:shd w:val="clear" w:color="auto" w:fill="548235"/>
          </w:tcPr>
          <w:p>
            <w:r/>
            <w:r>
              <w:rPr>
                <w:b/>
                <w:color w:val="FFFFFF"/>
                <w:sz w:val="21"/>
              </w:rPr>
              <w:t>GOOD</w:t>
            </w:r>
          </w:p>
        </w:tc>
        <w:tc>
          <w:tcPr>
            <w:tcW w:type="dxa" w:w="2340"/>
            <w:shd w:val="clear" w:color="auto" w:fill="EBF3FB"/>
          </w:tcPr>
          <w:p>
            <w:r/>
            <w:r>
              <w:rPr>
                <w:color w:val="375A10"/>
                <w:sz w:val="20"/>
              </w:rPr>
              <w:t>None — ready to publish</w:t>
            </w:r>
          </w:p>
        </w:tc>
        <w:tc>
          <w:tcPr>
            <w:tcW w:type="dxa" w:w="2340"/>
            <w:shd w:val="clear" w:color="auto" w:fill="E2EFDA"/>
          </w:tcPr>
          <w:p>
            <w:r/>
            <w:r>
              <w:rPr>
                <w:b/>
                <w:color w:val="375A10"/>
                <w:sz w:val="21"/>
              </w:rPr>
              <w:t>None — publish now</w:t>
            </w:r>
          </w:p>
        </w:tc>
      </w:tr>
      <w:tr>
        <w:tc>
          <w:tcPr>
            <w:tcW w:type="dxa" w:w="2340"/>
            <w:shd w:val="clear" w:color="auto" w:fill="FFFFFF"/>
          </w:tcPr>
          <w:p>
            <w:r/>
            <w:r>
              <w:rPr>
                <w:b/>
                <w:sz w:val="20"/>
              </w:rPr>
              <w:t>Load Balancer</w:t>
            </w:r>
          </w:p>
        </w:tc>
        <w:tc>
          <w:tcPr>
            <w:tcW w:type="dxa" w:w="2340"/>
            <w:shd w:val="clear" w:color="auto" w:fill="548235"/>
          </w:tcPr>
          <w:p>
            <w:r/>
            <w:r>
              <w:rPr>
                <w:b/>
                <w:color w:val="FFFFFF"/>
                <w:sz w:val="21"/>
              </w:rPr>
              <w:t>GOOD</w:t>
            </w:r>
          </w:p>
        </w:tc>
        <w:tc>
          <w:tcPr>
            <w:tcW w:type="dxa" w:w="2340"/>
            <w:shd w:val="clear" w:color="auto" w:fill="FFFFFF"/>
          </w:tcPr>
          <w:p>
            <w:r/>
            <w:r>
              <w:rPr>
                <w:color w:val="375A10"/>
                <w:sz w:val="20"/>
              </w:rPr>
              <w:t>None — ready to publish</w:t>
            </w:r>
          </w:p>
        </w:tc>
        <w:tc>
          <w:tcPr>
            <w:tcW w:type="dxa" w:w="2340"/>
            <w:shd w:val="clear" w:color="auto" w:fill="E2EFDA"/>
          </w:tcPr>
          <w:p>
            <w:r/>
            <w:r>
              <w:rPr>
                <w:b/>
                <w:color w:val="375A10"/>
                <w:sz w:val="21"/>
              </w:rPr>
              <w:t>None — publish now</w:t>
            </w:r>
          </w:p>
        </w:tc>
      </w:tr>
      <w:tr>
        <w:tc>
          <w:tcPr>
            <w:tcW w:type="dxa" w:w="2340"/>
            <w:shd w:val="clear" w:color="auto" w:fill="EBF3FB"/>
          </w:tcPr>
          <w:p>
            <w:r/>
            <w:r>
              <w:rPr>
                <w:b/>
                <w:sz w:val="20"/>
              </w:rPr>
              <w:t>Network Interface</w:t>
            </w:r>
          </w:p>
        </w:tc>
        <w:tc>
          <w:tcPr>
            <w:tcW w:type="dxa" w:w="2340"/>
            <w:shd w:val="clear" w:color="auto" w:fill="548235"/>
          </w:tcPr>
          <w:p>
            <w:r/>
            <w:r>
              <w:rPr>
                <w:b/>
                <w:color w:val="FFFFFF"/>
                <w:sz w:val="21"/>
              </w:rPr>
              <w:t>GOOD</w:t>
            </w:r>
          </w:p>
        </w:tc>
        <w:tc>
          <w:tcPr>
            <w:tcW w:type="dxa" w:w="2340"/>
            <w:shd w:val="clear" w:color="auto" w:fill="EBF3FB"/>
          </w:tcPr>
          <w:p>
            <w:r/>
            <w:r>
              <w:rPr>
                <w:color w:val="375A10"/>
                <w:sz w:val="20"/>
              </w:rPr>
              <w:t>None — ready to publish</w:t>
            </w:r>
          </w:p>
        </w:tc>
        <w:tc>
          <w:tcPr>
            <w:tcW w:type="dxa" w:w="2340"/>
            <w:shd w:val="clear" w:color="auto" w:fill="E2EFDA"/>
          </w:tcPr>
          <w:p>
            <w:r/>
            <w:r>
              <w:rPr>
                <w:b/>
                <w:color w:val="375A10"/>
                <w:sz w:val="21"/>
              </w:rPr>
              <w:t>None — publish now</w:t>
            </w:r>
          </w:p>
        </w:tc>
      </w:tr>
      <w:tr>
        <w:tc>
          <w:tcPr>
            <w:tcW w:type="dxa" w:w="2340"/>
            <w:shd w:val="clear" w:color="auto" w:fill="FFFFFF"/>
          </w:tcPr>
          <w:p>
            <w:r/>
            <w:r>
              <w:rPr>
                <w:b/>
                <w:sz w:val="20"/>
              </w:rPr>
              <w:t>Event Grid</w:t>
            </w:r>
          </w:p>
        </w:tc>
        <w:tc>
          <w:tcPr>
            <w:tcW w:type="dxa" w:w="2340"/>
            <w:shd w:val="clear" w:color="auto" w:fill="548235"/>
          </w:tcPr>
          <w:p>
            <w:r/>
            <w:r>
              <w:rPr>
                <w:b/>
                <w:color w:val="FFFFFF"/>
                <w:sz w:val="21"/>
              </w:rPr>
              <w:t>GOOD</w:t>
            </w:r>
          </w:p>
        </w:tc>
        <w:tc>
          <w:tcPr>
            <w:tcW w:type="dxa" w:w="2340"/>
            <w:shd w:val="clear" w:color="auto" w:fill="FFFFFF"/>
          </w:tcPr>
          <w:p>
            <w:r/>
            <w:r>
              <w:rPr>
                <w:color w:val="375A10"/>
                <w:sz w:val="20"/>
              </w:rPr>
              <w:t>None — ready to publish</w:t>
            </w:r>
          </w:p>
        </w:tc>
        <w:tc>
          <w:tcPr>
            <w:tcW w:type="dxa" w:w="2340"/>
            <w:shd w:val="clear" w:color="auto" w:fill="E2EFDA"/>
          </w:tcPr>
          <w:p>
            <w:r/>
            <w:r>
              <w:rPr>
                <w:b/>
                <w:color w:val="375A10"/>
                <w:sz w:val="21"/>
              </w:rPr>
              <w:t>None — publish now</w:t>
            </w:r>
          </w:p>
        </w:tc>
      </w:tr>
      <w:tr>
        <w:tc>
          <w:tcPr>
            <w:tcW w:type="dxa" w:w="2340"/>
            <w:shd w:val="clear" w:color="auto" w:fill="EBF3FB"/>
          </w:tcPr>
          <w:p>
            <w:r/>
            <w:r>
              <w:rPr>
                <w:b/>
                <w:sz w:val="20"/>
              </w:rPr>
              <w:t>VNet Peering</w:t>
            </w:r>
          </w:p>
        </w:tc>
        <w:tc>
          <w:tcPr>
            <w:tcW w:type="dxa" w:w="2340"/>
            <w:shd w:val="clear" w:color="auto" w:fill="548235"/>
          </w:tcPr>
          <w:p>
            <w:r/>
            <w:r>
              <w:rPr>
                <w:b/>
                <w:color w:val="FFFFFF"/>
                <w:sz w:val="21"/>
              </w:rPr>
              <w:t>GOOD</w:t>
            </w:r>
          </w:p>
        </w:tc>
        <w:tc>
          <w:tcPr>
            <w:tcW w:type="dxa" w:w="2340"/>
            <w:shd w:val="clear" w:color="auto" w:fill="EBF3FB"/>
          </w:tcPr>
          <w:p>
            <w:r/>
            <w:r>
              <w:rPr>
                <w:sz w:val="20"/>
              </w:rPr>
              <w:t>Rename requirements.tf → versions.tf</w:t>
            </w:r>
          </w:p>
        </w:tc>
        <w:tc>
          <w:tcPr>
            <w:tcW w:type="dxa" w:w="2340"/>
          </w:tcPr>
          <w:p>
            <w:r/>
            <w:r>
              <w:rPr>
                <w:b w:val="0"/>
                <w:sz w:val="21"/>
              </w:rPr>
              <w:t>Low — 1 file rename + test run</w:t>
            </w:r>
          </w:p>
        </w:tc>
      </w:tr>
      <w:tr>
        <w:tc>
          <w:tcPr>
            <w:tcW w:type="dxa" w:w="2340"/>
            <w:shd w:val="clear" w:color="auto" w:fill="FFFFFF"/>
          </w:tcPr>
          <w:p>
            <w:r/>
            <w:r>
              <w:rPr>
                <w:b/>
                <w:sz w:val="20"/>
              </w:rPr>
              <w:t>Windows VM</w:t>
            </w:r>
          </w:p>
        </w:tc>
        <w:tc>
          <w:tcPr>
            <w:tcW w:type="dxa" w:w="2340"/>
            <w:shd w:val="clear" w:color="auto" w:fill="2E74B5"/>
          </w:tcPr>
          <w:p>
            <w:r/>
            <w:r>
              <w:rPr>
                <w:b/>
                <w:color w:val="FFFFFF"/>
                <w:sz w:val="21"/>
              </w:rPr>
              <w:t>COMPLETE</w:t>
            </w:r>
          </w:p>
        </w:tc>
        <w:tc>
          <w:tcPr>
            <w:tcW w:type="dxa" w:w="2340"/>
            <w:shd w:val="clear" w:color="auto" w:fill="FFFFFF"/>
          </w:tcPr>
          <w:p>
            <w:r/>
            <w:r>
              <w:rPr>
                <w:color w:val="C00000"/>
                <w:sz w:val="20"/>
              </w:rPr>
              <w:t>Parameterise test credentials</w:t>
            </w:r>
          </w:p>
        </w:tc>
        <w:tc>
          <w:tcPr>
            <w:tcW w:type="dxa" w:w="2340"/>
            <w:shd w:val="clear" w:color="auto" w:fill="FFE0E0"/>
          </w:tcPr>
          <w:p>
            <w:r/>
            <w:r>
              <w:rPr>
                <w:b/>
                <w:color w:val="C00000"/>
                <w:sz w:val="21"/>
              </w:rPr>
              <w:t>Low — update test/main.tf only</w:t>
            </w:r>
          </w:p>
        </w:tc>
      </w:tr>
      <w:tr>
        <w:tc>
          <w:tcPr>
            <w:tcW w:type="dxa" w:w="2340"/>
            <w:shd w:val="clear" w:color="auto" w:fill="EBF3FB"/>
          </w:tcPr>
          <w:p>
            <w:r/>
            <w:r>
              <w:rPr>
                <w:b/>
                <w:sz w:val="20"/>
              </w:rPr>
              <w:t>Windows Function App</w:t>
            </w:r>
          </w:p>
        </w:tc>
        <w:tc>
          <w:tcPr>
            <w:tcW w:type="dxa" w:w="2340"/>
            <w:shd w:val="clear" w:color="auto" w:fill="548235"/>
          </w:tcPr>
          <w:p>
            <w:r/>
            <w:r>
              <w:rPr>
                <w:b/>
                <w:color w:val="FFFFFF"/>
                <w:sz w:val="21"/>
              </w:rPr>
              <w:t>GOOD</w:t>
            </w:r>
          </w:p>
        </w:tc>
        <w:tc>
          <w:tcPr>
            <w:tcW w:type="dxa" w:w="2340"/>
            <w:shd w:val="clear" w:color="auto" w:fill="EBF3FB"/>
          </w:tcPr>
          <w:p>
            <w:r/>
            <w:r>
              <w:rPr>
                <w:color w:val="C00000"/>
                <w:sz w:val="20"/>
              </w:rPr>
              <w:t>Mark storage_account_access_key sensitive = true. Rename requirements.tf → versions.tf</w:t>
            </w:r>
          </w:p>
        </w:tc>
        <w:tc>
          <w:tcPr>
            <w:tcW w:type="dxa" w:w="2340"/>
            <w:shd w:val="clear" w:color="auto" w:fill="FFE0E0"/>
          </w:tcPr>
          <w:p>
            <w:r/>
            <w:r>
              <w:rPr>
                <w:b/>
                <w:color w:val="C00000"/>
                <w:sz w:val="21"/>
              </w:rPr>
              <w:t>Low — 2 variable changes</w:t>
            </w:r>
          </w:p>
        </w:tc>
      </w:tr>
      <w:tr>
        <w:tc>
          <w:tcPr>
            <w:tcW w:type="dxa" w:w="2340"/>
            <w:shd w:val="clear" w:color="auto" w:fill="FFFFFF"/>
          </w:tcPr>
          <w:p>
            <w:r/>
            <w:r>
              <w:rPr>
                <w:b/>
                <w:sz w:val="20"/>
              </w:rPr>
              <w:t>NSG Association</w:t>
            </w:r>
          </w:p>
        </w:tc>
        <w:tc>
          <w:tcPr>
            <w:tcW w:type="dxa" w:w="2340"/>
            <w:shd w:val="clear" w:color="auto" w:fill="7F6000"/>
          </w:tcPr>
          <w:p>
            <w:r/>
            <w:r>
              <w:rPr>
                <w:b/>
                <w:color w:val="FFFFFF"/>
                <w:sz w:val="21"/>
              </w:rPr>
              <w:t>BASIC</w:t>
            </w:r>
          </w:p>
        </w:tc>
        <w:tc>
          <w:tcPr>
            <w:tcW w:type="dxa" w:w="2340"/>
            <w:shd w:val="clear" w:color="auto" w:fill="FFFFFF"/>
          </w:tcPr>
          <w:p>
            <w:r/>
            <w:r>
              <w:rPr>
                <w:sz w:val="20"/>
              </w:rPr>
              <w:t>Add NSG rule variable support for more complete coverage</w:t>
            </w:r>
          </w:p>
        </w:tc>
        <w:tc>
          <w:tcPr>
            <w:tcW w:type="dxa" w:w="2340"/>
          </w:tcPr>
          <w:p>
            <w:r/>
            <w:r>
              <w:rPr>
                <w:b w:val="0"/>
                <w:sz w:val="21"/>
              </w:rPr>
              <w:t>Medium — extend module scope</w:t>
            </w:r>
          </w:p>
        </w:tc>
      </w:tr>
      <w:tr>
        <w:tc>
          <w:tcPr>
            <w:tcW w:type="dxa" w:w="2340"/>
            <w:shd w:val="clear" w:color="auto" w:fill="EBF3FB"/>
          </w:tcPr>
          <w:p>
            <w:r/>
            <w:r>
              <w:rPr>
                <w:b/>
                <w:sz w:val="20"/>
              </w:rPr>
              <w:t>Container Agent</w:t>
            </w:r>
          </w:p>
        </w:tc>
        <w:tc>
          <w:tcPr>
            <w:tcW w:type="dxa" w:w="2340"/>
            <w:shd w:val="clear" w:color="auto" w:fill="7F6000"/>
          </w:tcPr>
          <w:p>
            <w:r/>
            <w:r>
              <w:rPr>
                <w:b/>
                <w:color w:val="FFFFFF"/>
                <w:sz w:val="21"/>
              </w:rPr>
              <w:t>BASIC</w:t>
            </w:r>
          </w:p>
        </w:tc>
        <w:tc>
          <w:tcPr>
            <w:tcW w:type="dxa" w:w="2340"/>
            <w:shd w:val="clear" w:color="auto" w:fill="EBF3FB"/>
          </w:tcPr>
          <w:p>
            <w:r/>
            <w:r>
              <w:rPr>
                <w:sz w:val="20"/>
              </w:rPr>
              <w:t>Add optional networking configs (firewall, NSG, logging)</w:t>
            </w:r>
          </w:p>
        </w:tc>
        <w:tc>
          <w:tcPr>
            <w:tcW w:type="dxa" w:w="2340"/>
          </w:tcPr>
          <w:p>
            <w:r/>
            <w:r>
              <w:rPr>
                <w:b w:val="0"/>
                <w:sz w:val="21"/>
              </w:rPr>
              <w:t>Medium — expand variable surface</w:t>
            </w:r>
          </w:p>
        </w:tc>
      </w:tr>
      <w:tr>
        <w:tc>
          <w:tcPr>
            <w:tcW w:type="dxa" w:w="2340"/>
            <w:shd w:val="clear" w:color="auto" w:fill="FFFFFF"/>
          </w:tcPr>
          <w:p>
            <w:r/>
            <w:r>
              <w:rPr>
                <w:b/>
                <w:sz w:val="20"/>
              </w:rPr>
              <w:t>Private DNS</w:t>
            </w:r>
          </w:p>
        </w:tc>
        <w:tc>
          <w:tcPr>
            <w:tcW w:type="dxa" w:w="2340"/>
            <w:shd w:val="clear" w:color="auto" w:fill="C00000"/>
          </w:tcPr>
          <w:p>
            <w:r/>
            <w:r>
              <w:rPr>
                <w:b/>
                <w:color w:val="FFFFFF"/>
                <w:sz w:val="21"/>
              </w:rPr>
              <w:t>INCOMPLETE</w:t>
            </w:r>
          </w:p>
        </w:tc>
        <w:tc>
          <w:tcPr>
            <w:tcW w:type="dxa" w:w="2340"/>
            <w:shd w:val="clear" w:color="auto" w:fill="FFFFFF"/>
          </w:tcPr>
          <w:p>
            <w:r/>
            <w:r>
              <w:rPr>
                <w:color w:val="C00000"/>
                <w:sz w:val="20"/>
              </w:rPr>
              <w:t>Implement virtual network link resources and variable</w:t>
            </w:r>
          </w:p>
        </w:tc>
        <w:tc>
          <w:tcPr>
            <w:tcW w:type="dxa" w:w="2340"/>
            <w:shd w:val="clear" w:color="auto" w:fill="FFE0E0"/>
          </w:tcPr>
          <w:p>
            <w:r/>
            <w:r>
              <w:rPr>
                <w:b/>
                <w:color w:val="C00000"/>
                <w:sz w:val="21"/>
              </w:rPr>
              <w:t>Medium — add vnet_link_configs</w:t>
            </w:r>
          </w:p>
        </w:tc>
      </w:tr>
      <w:tr>
        <w:tc>
          <w:tcPr>
            <w:tcW w:type="dxa" w:w="2340"/>
            <w:shd w:val="clear" w:color="auto" w:fill="EBF3FB"/>
          </w:tcPr>
          <w:p>
            <w:r/>
            <w:r>
              <w:rPr>
                <w:b/>
                <w:sz w:val="20"/>
              </w:rPr>
              <w:t>Mixed/Availability VMs (test repo)</w:t>
            </w:r>
          </w:p>
        </w:tc>
        <w:tc>
          <w:tcPr>
            <w:tcW w:type="dxa" w:w="2340"/>
            <w:shd w:val="clear" w:color="auto" w:fill="C00000"/>
          </w:tcPr>
          <w:p>
            <w:r/>
            <w:r>
              <w:rPr>
                <w:b/>
                <w:color w:val="FFFFFF"/>
                <w:sz w:val="21"/>
              </w:rPr>
              <w:t>INCOMPLETE</w:t>
            </w:r>
          </w:p>
        </w:tc>
        <w:tc>
          <w:tcPr>
            <w:tcW w:type="dxa" w:w="2340"/>
            <w:shd w:val="clear" w:color="auto" w:fill="EBF3FB"/>
          </w:tcPr>
          <w:p>
            <w:r/>
            <w:r>
              <w:rPr>
                <w:color w:val="C00000"/>
                <w:sz w:val="20"/>
              </w:rPr>
              <w:t>Rename all files, remove non-TF files, full test coverage</w:t>
            </w:r>
          </w:p>
        </w:tc>
        <w:tc>
          <w:tcPr>
            <w:tcW w:type="dxa" w:w="2340"/>
            <w:shd w:val="clear" w:color="auto" w:fill="FFE0E0"/>
          </w:tcPr>
          <w:p>
            <w:r/>
            <w:r>
              <w:rPr>
                <w:b/>
                <w:color w:val="C00000"/>
                <w:sz w:val="21"/>
              </w:rPr>
              <w:t>High — significant remediation</w:t>
            </w:r>
          </w:p>
        </w:tc>
      </w:tr>
    </w:tbl>
    <w:p>
      <w:r>
        <w:br w:type="page"/>
      </w:r>
    </w:p>
    <w:p>
      <w:pPr>
        <w:spacing w:before="280" w:after="80"/>
        <w:pBdr>
          <w:bottom w:val="single" w:sz="6" w:space="1" w:color="1F4E79"/>
        </w:pBdr>
      </w:pPr>
      <w:r>
        <w:rPr>
          <w:b/>
          <w:color w:val="1F4E79"/>
          <w:sz w:val="32"/>
        </w:rPr>
        <w:t>Conclusion</w:t>
      </w:r>
    </w:p>
    <w:p>
      <w:pPr>
        <w:spacing w:after="80"/>
      </w:pPr>
      <w:r>
        <w:rPr>
          <w:b w:val="0"/>
          <w:sz w:val="21"/>
        </w:rPr>
        <w:t>Compeer's distributed module architecture is the correct enterprise pattern. The MSSQL Database and Storage Account modules demonstrate what good looks like — comprehensive variable coverage, dynamic blocks, proper file structure, and clear reusability. The majority of modules are in GOOD shape and can be published to the HCP registry after minor fixes.</w:t>
        <w:br/>
        <w:br/>
        <w:t>The three critical actions before any module is published:</w:t>
      </w:r>
    </w:p>
    <w:p>
      <w:pPr>
        <w:pStyle w:val="ListBullet"/>
        <w:spacing w:after="80"/>
      </w:pPr>
      <w:r>
        <w:rPr>
          <w:b/>
          <w:color w:val="C00000"/>
          <w:sz w:val="22"/>
        </w:rPr>
        <w:t xml:space="preserve">Fix credentials: </w:t>
      </w:r>
      <w:r>
        <w:rPr>
          <w:sz w:val="22"/>
        </w:rPr>
        <w:t>Remove hardcoded admin_username and admin_password from Windows VM test files</w:t>
      </w:r>
    </w:p>
    <w:p>
      <w:pPr>
        <w:pStyle w:val="ListBullet"/>
        <w:spacing w:after="80"/>
      </w:pPr>
      <w:r>
        <w:rPr>
          <w:b/>
          <w:color w:val="BF5000"/>
          <w:sz w:val="22"/>
        </w:rPr>
        <w:t xml:space="preserve">Standardise file names: </w:t>
      </w:r>
      <w:r>
        <w:rPr>
          <w:sz w:val="22"/>
        </w:rPr>
        <w:t>Rename requirements.tf → versions.tf in VNet Peering and Windows Function App repos</w:t>
      </w:r>
    </w:p>
    <w:p>
      <w:pPr>
        <w:pStyle w:val="ListBullet"/>
        <w:spacing w:after="80"/>
      </w:pPr>
      <w:r>
        <w:rPr>
          <w:b/>
          <w:color w:val="BF5000"/>
          <w:sz w:val="22"/>
        </w:rPr>
        <w:t xml:space="preserve">Activate CI/CD gates: </w:t>
      </w:r>
      <w:r>
        <w:rPr>
          <w:sz w:val="22"/>
        </w:rPr>
        <w:t>Add fmt-check, validate, tflint, checkov, and test stages to azure-pipelines.yml in every module repo</w:t>
      </w:r>
    </w:p>
    <w:p>
      <w:pPr>
        <w:spacing w:after="80"/>
      </w:pPr>
      <w:r>
        <w:rPr>
          <w:b/>
          <w:color w:val="1F4E79"/>
          <w:sz w:val="21"/>
        </w:rPr>
        <w:br/>
        <w:t>Once these three actions are complete, the six GOOD/EXCELLENT modules (MSSQL, Storage Account, Log Analytics, Load Balancer, Network Interface, Event Grid) can be published immediately. The remaining modules should be remediated in priority order as defined in the Module Readiness Summary above.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