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Compeer Module Architecture</w:t>
        <w:br/>
        <w:t>Enterprise Reusability Assessment</w:t>
      </w:r>
    </w:p>
    <w:p>
      <w:pPr>
        <w:pStyle w:val="Subtitle"/>
      </w:pPr>
      <w:r>
        <w:t>Client-facing review summary for HCP Terraform private registry readiness, module reuse, and standardization across Azure shared modules.</w:t>
      </w:r>
    </w:p>
    <w:tbl>
      <w:tblPr>
        <w:tblW w:type="auto" w:w="0"/>
        <w:jc w:val="center"/>
        <w:tblLayout w:type="fixed"/>
        <w:tblLook w:firstColumn="1" w:firstRow="1" w:lastColumn="0" w:lastRow="0" w:noHBand="0" w:noVBand="1" w:val="04A0"/>
      </w:tblPr>
      <w:tblGrid>
        <w:gridCol w:w="9792"/>
      </w:tblGrid>
      <w:tr>
        <w:tc>
          <w:tcPr>
            <w:tcW w:type="dxa" w:w="10080"/>
            <w:shd w:fill="EAF2F8"/>
            <w:vAlign w:val="center"/>
          </w:tcPr>
          <w:p>
            <w:r/>
            <w:r>
              <w:rPr>
                <w:rFonts w:ascii="Aptos" w:hAnsi="Aptos"/>
                <w:b w:val="0"/>
                <w:sz w:val="21"/>
              </w:rPr>
              <w:t>Executive summary: Compeer’s repo-per-module model is appropriate for enterprise reuse. Most modules do not require rewrites; they require standardization, targeted hardening, and controlled publication to the HCP private registry. The strongest immediate publish candidates are MSSQL Database, Storage Account, Log Analytics, Load Balancer, Network Interface, and Event Grid. Windows VM should be refactored rather than rewritten by retaining its strong core logic while splitting AD join and guest-extension behavior into optional companion modules.</w:t>
            </w:r>
          </w:p>
        </w:tc>
      </w:tr>
    </w:tbl>
    <w:p/>
    <w:p>
      <w:pPr>
        <w:pStyle w:val="Heading1"/>
      </w:pPr>
      <w:r>
        <w:t>Module assessment</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800"/>
            <w:shd w:fill="1F4E79"/>
            <w:vAlign w:val="center"/>
          </w:tcPr>
          <w:p>
            <w:pPr>
              <w:jc w:val="center"/>
            </w:pPr>
            <w:r/>
            <w:r>
              <w:rPr>
                <w:rFonts w:ascii="Aptos" w:hAnsi="Aptos"/>
                <w:b/>
                <w:color w:val="FFFFFF"/>
                <w:sz w:val="19"/>
              </w:rPr>
              <w:t>Module</w:t>
            </w:r>
          </w:p>
        </w:tc>
        <w:tc>
          <w:tcPr>
            <w:tcW w:type="dxa" w:w="2232"/>
            <w:shd w:fill="1F4E79"/>
            <w:vAlign w:val="center"/>
          </w:tcPr>
          <w:p>
            <w:pPr>
              <w:jc w:val="center"/>
            </w:pPr>
            <w:r/>
            <w:r>
              <w:rPr>
                <w:rFonts w:ascii="Aptos" w:hAnsi="Aptos"/>
                <w:b/>
                <w:color w:val="FFFFFF"/>
                <w:sz w:val="19"/>
              </w:rPr>
              <w:t>Assessment status</w:t>
            </w:r>
          </w:p>
        </w:tc>
        <w:tc>
          <w:tcPr>
            <w:tcW w:type="dxa" w:w="3960"/>
            <w:shd w:fill="1F4E79"/>
            <w:vAlign w:val="center"/>
          </w:tcPr>
          <w:p>
            <w:pPr>
              <w:jc w:val="center"/>
            </w:pPr>
            <w:r/>
            <w:r>
              <w:rPr>
                <w:rFonts w:ascii="Aptos" w:hAnsi="Aptos"/>
                <w:b/>
                <w:color w:val="FFFFFF"/>
                <w:sz w:val="19"/>
              </w:rPr>
              <w:t>Key observation</w:t>
            </w:r>
          </w:p>
        </w:tc>
        <w:tc>
          <w:tcPr>
            <w:tcW w:type="dxa" w:w="3096"/>
            <w:shd w:fill="1F4E79"/>
            <w:vAlign w:val="center"/>
          </w:tcPr>
          <w:p>
            <w:pPr>
              <w:jc w:val="center"/>
            </w:pPr>
            <w:r/>
            <w:r>
              <w:rPr>
                <w:rFonts w:ascii="Aptos" w:hAnsi="Aptos"/>
                <w:b/>
                <w:color w:val="FFFFFF"/>
                <w:sz w:val="19"/>
              </w:rPr>
              <w:t>Recommended action</w:t>
            </w:r>
          </w:p>
        </w:tc>
      </w:tr>
      <w:tr>
        <w:tc>
          <w:tcPr>
            <w:tcW w:type="dxa" w:w="1800"/>
            <w:vAlign w:val="center"/>
          </w:tcPr>
          <w:p>
            <w:pPr>
              <w:jc w:val="center"/>
            </w:pPr>
            <w:r/>
            <w:r>
              <w:rPr>
                <w:rFonts w:ascii="Aptos" w:hAnsi="Aptos"/>
                <w:b w:val="0"/>
                <w:sz w:val="18"/>
              </w:rPr>
              <w:t>Windows VM</w:t>
            </w:r>
          </w:p>
        </w:tc>
        <w:tc>
          <w:tcPr>
            <w:tcW w:type="dxa" w:w="2232"/>
            <w:vAlign w:val="center"/>
          </w:tcPr>
          <w:p>
            <w:pPr>
              <w:jc w:val="center"/>
            </w:pPr>
            <w:r/>
            <w:r>
              <w:rPr>
                <w:rFonts w:ascii="Aptos" w:hAnsi="Aptos"/>
                <w:b w:val="0"/>
                <w:sz w:val="18"/>
              </w:rPr>
              <w:t>Good – Refactor before publish</w:t>
            </w:r>
          </w:p>
        </w:tc>
        <w:tc>
          <w:tcPr>
            <w:tcW w:type="dxa" w:w="3960"/>
            <w:vAlign w:val="center"/>
          </w:tcPr>
          <w:p>
            <w:r/>
            <w:r>
              <w:rPr>
                <w:rFonts w:ascii="Aptos" w:hAnsi="Aptos"/>
                <w:b w:val="0"/>
                <w:sz w:val="18"/>
              </w:rPr>
              <w:t>Broad enterprise coverage already exists: VM, NIC, image, OS disk, identity, availability set, data disks, AD join, extra IPs, and extensions. The main issue is contract breadth: too many responsibilities are bundled into one module, which increases reuse friction. Hardcoded test credentials are also a security concern.</w:t>
            </w:r>
          </w:p>
        </w:tc>
        <w:tc>
          <w:tcPr>
            <w:tcW w:type="dxa" w:w="3096"/>
            <w:vAlign w:val="center"/>
          </w:tcPr>
          <w:p>
            <w:r/>
            <w:r>
              <w:rPr>
                <w:rFonts w:ascii="Aptos" w:hAnsi="Aptos"/>
                <w:b w:val="0"/>
                <w:sz w:val="18"/>
              </w:rPr>
              <w:t>Keep the core implementation. Split AD join and disk/custom-script extensions into optional companion modules or submodules. Group related inputs into objects, remove hardcoded test credentials, and tighten validation rules before registry publication.</w:t>
            </w:r>
          </w:p>
        </w:tc>
      </w:tr>
      <w:tr>
        <w:tc>
          <w:tcPr>
            <w:tcW w:type="dxa" w:w="1800"/>
            <w:vAlign w:val="center"/>
          </w:tcPr>
          <w:p>
            <w:pPr>
              <w:jc w:val="center"/>
            </w:pPr>
            <w:r/>
            <w:r>
              <w:rPr>
                <w:rFonts w:ascii="Aptos" w:hAnsi="Aptos"/>
                <w:b w:val="0"/>
                <w:sz w:val="18"/>
              </w:rPr>
              <w:t>MSSQL Database</w:t>
            </w:r>
          </w:p>
        </w:tc>
        <w:tc>
          <w:tcPr>
            <w:tcW w:type="dxa" w:w="2232"/>
            <w:vAlign w:val="center"/>
          </w:tcPr>
          <w:p>
            <w:pPr>
              <w:jc w:val="center"/>
            </w:pPr>
            <w:r/>
            <w:r>
              <w:rPr>
                <w:rFonts w:ascii="Aptos" w:hAnsi="Aptos"/>
                <w:b w:val="0"/>
                <w:sz w:val="18"/>
              </w:rPr>
              <w:t>Excellent – Ready to publish</w:t>
            </w:r>
          </w:p>
        </w:tc>
        <w:tc>
          <w:tcPr>
            <w:tcW w:type="dxa" w:w="3960"/>
            <w:vAlign w:val="center"/>
          </w:tcPr>
          <w:p>
            <w:r/>
            <w:r>
              <w:rPr>
                <w:rFonts w:ascii="Aptos" w:hAnsi="Aptos"/>
                <w:b w:val="0"/>
                <w:sz w:val="18"/>
              </w:rPr>
              <w:t>Strong variable coverage, good optional block handling, and reusable design. One of the most mature modules in the set.</w:t>
            </w:r>
          </w:p>
        </w:tc>
        <w:tc>
          <w:tcPr>
            <w:tcW w:type="dxa" w:w="3096"/>
            <w:vAlign w:val="center"/>
          </w:tcPr>
          <w:p>
            <w:r/>
            <w:r>
              <w:rPr>
                <w:rFonts w:ascii="Aptos" w:hAnsi="Aptos"/>
                <w:b w:val="0"/>
                <w:sz w:val="18"/>
              </w:rPr>
              <w:t>Publish to the HCP private registry with standard CI gates and semantic versioning.</w:t>
            </w:r>
          </w:p>
        </w:tc>
      </w:tr>
      <w:tr>
        <w:tc>
          <w:tcPr>
            <w:tcW w:type="dxa" w:w="1800"/>
            <w:vAlign w:val="center"/>
          </w:tcPr>
          <w:p>
            <w:pPr>
              <w:jc w:val="center"/>
            </w:pPr>
            <w:r/>
            <w:r>
              <w:rPr>
                <w:rFonts w:ascii="Aptos" w:hAnsi="Aptos"/>
                <w:b w:val="0"/>
                <w:sz w:val="18"/>
              </w:rPr>
              <w:t>Load Balancer</w:t>
            </w:r>
          </w:p>
        </w:tc>
        <w:tc>
          <w:tcPr>
            <w:tcW w:type="dxa" w:w="2232"/>
            <w:vAlign w:val="center"/>
          </w:tcPr>
          <w:p>
            <w:pPr>
              <w:jc w:val="center"/>
            </w:pPr>
            <w:r/>
            <w:r>
              <w:rPr>
                <w:rFonts w:ascii="Aptos" w:hAnsi="Aptos"/>
                <w:b w:val="0"/>
                <w:sz w:val="18"/>
              </w:rPr>
              <w:t>Good – Publish after minor hardening</w:t>
            </w:r>
          </w:p>
        </w:tc>
        <w:tc>
          <w:tcPr>
            <w:tcW w:type="dxa" w:w="3960"/>
            <w:vAlign w:val="center"/>
          </w:tcPr>
          <w:p>
            <w:r/>
            <w:r>
              <w:rPr>
                <w:rFonts w:ascii="Aptos" w:hAnsi="Aptos"/>
                <w:b w:val="0"/>
                <w:sz w:val="18"/>
              </w:rPr>
              <w:t>Well-structured, variables-driven, and covers multiple rule types. Already close to reusable shared-module quality.</w:t>
            </w:r>
          </w:p>
        </w:tc>
        <w:tc>
          <w:tcPr>
            <w:tcW w:type="dxa" w:w="3096"/>
            <w:vAlign w:val="center"/>
          </w:tcPr>
          <w:p>
            <w:r/>
            <w:r>
              <w:rPr>
                <w:rFonts w:ascii="Aptos" w:hAnsi="Aptos"/>
                <w:b w:val="0"/>
                <w:sz w:val="18"/>
              </w:rPr>
              <w:t>Add test coverage for common rule combinations and document supported design patterns, then publish.</w:t>
            </w:r>
          </w:p>
        </w:tc>
      </w:tr>
      <w:tr>
        <w:tc>
          <w:tcPr>
            <w:tcW w:type="dxa" w:w="1800"/>
            <w:vAlign w:val="center"/>
          </w:tcPr>
          <w:p>
            <w:pPr>
              <w:jc w:val="center"/>
            </w:pPr>
            <w:r/>
            <w:r>
              <w:rPr>
                <w:rFonts w:ascii="Aptos" w:hAnsi="Aptos"/>
                <w:b w:val="0"/>
                <w:sz w:val="18"/>
              </w:rPr>
              <w:t>Log Analytics</w:t>
            </w:r>
          </w:p>
        </w:tc>
        <w:tc>
          <w:tcPr>
            <w:tcW w:type="dxa" w:w="2232"/>
            <w:vAlign w:val="center"/>
          </w:tcPr>
          <w:p>
            <w:pPr>
              <w:jc w:val="center"/>
            </w:pPr>
            <w:r/>
            <w:r>
              <w:rPr>
                <w:rFonts w:ascii="Aptos" w:hAnsi="Aptos"/>
                <w:b w:val="0"/>
                <w:sz w:val="18"/>
              </w:rPr>
              <w:t>Good – Ready to publish</w:t>
            </w:r>
          </w:p>
        </w:tc>
        <w:tc>
          <w:tcPr>
            <w:tcW w:type="dxa" w:w="3960"/>
            <w:vAlign w:val="center"/>
          </w:tcPr>
          <w:p>
            <w:r/>
            <w:r>
              <w:rPr>
                <w:rFonts w:ascii="Aptos" w:hAnsi="Aptos"/>
                <w:b w:val="0"/>
                <w:sz w:val="18"/>
              </w:rPr>
              <w:t>Clean, variables-driven structure and good separation of concern. Appears close to registry-ready quality.</w:t>
            </w:r>
          </w:p>
        </w:tc>
        <w:tc>
          <w:tcPr>
            <w:tcW w:type="dxa" w:w="3096"/>
            <w:vAlign w:val="center"/>
          </w:tcPr>
          <w:p>
            <w:r/>
            <w:r>
              <w:rPr>
                <w:rFonts w:ascii="Aptos" w:hAnsi="Aptos"/>
                <w:b w:val="0"/>
                <w:sz w:val="18"/>
              </w:rPr>
              <w:t>Publish after final CI and README example verification.</w:t>
            </w:r>
          </w:p>
        </w:tc>
      </w:tr>
      <w:tr>
        <w:tc>
          <w:tcPr>
            <w:tcW w:type="dxa" w:w="1800"/>
            <w:vAlign w:val="center"/>
          </w:tcPr>
          <w:p>
            <w:pPr>
              <w:jc w:val="center"/>
            </w:pPr>
            <w:r/>
            <w:r>
              <w:rPr>
                <w:rFonts w:ascii="Aptos" w:hAnsi="Aptos"/>
                <w:b w:val="0"/>
                <w:sz w:val="18"/>
              </w:rPr>
              <w:t>Private DNS</w:t>
            </w:r>
          </w:p>
        </w:tc>
        <w:tc>
          <w:tcPr>
            <w:tcW w:type="dxa" w:w="2232"/>
            <w:vAlign w:val="center"/>
          </w:tcPr>
          <w:p>
            <w:pPr>
              <w:jc w:val="center"/>
            </w:pPr>
            <w:r/>
            <w:r>
              <w:rPr>
                <w:rFonts w:ascii="Aptos" w:hAnsi="Aptos"/>
                <w:b w:val="0"/>
                <w:sz w:val="18"/>
              </w:rPr>
              <w:t>Incomplete – Adjust before publish</w:t>
            </w:r>
          </w:p>
        </w:tc>
        <w:tc>
          <w:tcPr>
            <w:tcW w:type="dxa" w:w="3960"/>
            <w:vAlign w:val="center"/>
          </w:tcPr>
          <w:p>
            <w:r/>
            <w:r>
              <w:rPr>
                <w:rFonts w:ascii="Aptos" w:hAnsi="Aptos"/>
                <w:b w:val="0"/>
                <w:sz w:val="18"/>
              </w:rPr>
              <w:t>Good base pattern, but incomplete for enterprise reuse until VNet link handling is fully modeled and exposed.</w:t>
            </w:r>
          </w:p>
        </w:tc>
        <w:tc>
          <w:tcPr>
            <w:tcW w:type="dxa" w:w="3096"/>
            <w:vAlign w:val="center"/>
          </w:tcPr>
          <w:p>
            <w:r/>
            <w:r>
              <w:rPr>
                <w:rFonts w:ascii="Aptos" w:hAnsi="Aptos"/>
                <w:b w:val="0"/>
                <w:sz w:val="18"/>
              </w:rPr>
              <w:t>Add explicit private DNS VNet link support, standardize the VNet link input model, add tests, then publish.</w:t>
            </w:r>
          </w:p>
        </w:tc>
      </w:tr>
      <w:tr>
        <w:tc>
          <w:tcPr>
            <w:tcW w:type="dxa" w:w="1800"/>
            <w:vAlign w:val="center"/>
          </w:tcPr>
          <w:p>
            <w:pPr>
              <w:jc w:val="center"/>
            </w:pPr>
            <w:r/>
            <w:r>
              <w:rPr>
                <w:rFonts w:ascii="Aptos" w:hAnsi="Aptos"/>
                <w:b w:val="0"/>
                <w:sz w:val="18"/>
              </w:rPr>
              <w:t>Container Agent</w:t>
            </w:r>
          </w:p>
        </w:tc>
        <w:tc>
          <w:tcPr>
            <w:tcW w:type="dxa" w:w="2232"/>
            <w:vAlign w:val="center"/>
          </w:tcPr>
          <w:p>
            <w:pPr>
              <w:jc w:val="center"/>
            </w:pPr>
            <w:r/>
            <w:r>
              <w:rPr>
                <w:rFonts w:ascii="Aptos" w:hAnsi="Aptos"/>
                <w:b w:val="0"/>
                <w:sz w:val="18"/>
              </w:rPr>
              <w:t>Basic – Expand before publish</w:t>
            </w:r>
          </w:p>
        </w:tc>
        <w:tc>
          <w:tcPr>
            <w:tcW w:type="dxa" w:w="3960"/>
            <w:vAlign w:val="center"/>
          </w:tcPr>
          <w:p>
            <w:r/>
            <w:r>
              <w:rPr>
                <w:rFonts w:ascii="Aptos" w:hAnsi="Aptos"/>
                <w:b w:val="0"/>
                <w:sz w:val="18"/>
              </w:rPr>
              <w:t>Covers basic runtime and environment configuration but is too thin on networking and operational controls for broad cross-team reuse.</w:t>
            </w:r>
          </w:p>
        </w:tc>
        <w:tc>
          <w:tcPr>
            <w:tcW w:type="dxa" w:w="3096"/>
            <w:vAlign w:val="center"/>
          </w:tcPr>
          <w:p>
            <w:r/>
            <w:r>
              <w:rPr>
                <w:rFonts w:ascii="Aptos" w:hAnsi="Aptos"/>
                <w:b w:val="0"/>
                <w:sz w:val="18"/>
              </w:rPr>
              <w:t>Add optional inputs for NSG integration, firewall or network restrictions, and logging or monitoring configuration.</w:t>
            </w:r>
          </w:p>
        </w:tc>
      </w:tr>
      <w:tr>
        <w:tc>
          <w:tcPr>
            <w:tcW w:type="dxa" w:w="1800"/>
            <w:vAlign w:val="center"/>
          </w:tcPr>
          <w:p>
            <w:pPr>
              <w:jc w:val="center"/>
            </w:pPr>
            <w:r/>
            <w:r>
              <w:rPr>
                <w:rFonts w:ascii="Aptos" w:hAnsi="Aptos"/>
                <w:b w:val="0"/>
                <w:sz w:val="18"/>
              </w:rPr>
              <w:t>Network Interface</w:t>
            </w:r>
          </w:p>
        </w:tc>
        <w:tc>
          <w:tcPr>
            <w:tcW w:type="dxa" w:w="2232"/>
            <w:vAlign w:val="center"/>
          </w:tcPr>
          <w:p>
            <w:pPr>
              <w:jc w:val="center"/>
            </w:pPr>
            <w:r/>
            <w:r>
              <w:rPr>
                <w:rFonts w:ascii="Aptos" w:hAnsi="Aptos"/>
                <w:b w:val="0"/>
                <w:sz w:val="18"/>
              </w:rPr>
              <w:t>Good – Ready to publish after validation cleanup</w:t>
            </w:r>
          </w:p>
        </w:tc>
        <w:tc>
          <w:tcPr>
            <w:tcW w:type="dxa" w:w="3960"/>
            <w:vAlign w:val="center"/>
          </w:tcPr>
          <w:p>
            <w:r/>
            <w:r>
              <w:rPr>
                <w:rFonts w:ascii="Aptos" w:hAnsi="Aptos"/>
                <w:b w:val="0"/>
                <w:sz w:val="18"/>
              </w:rPr>
              <w:t>NIC, DNS, IP configuration, and tags are exposed well. Structurally reusable.</w:t>
            </w:r>
          </w:p>
        </w:tc>
        <w:tc>
          <w:tcPr>
            <w:tcW w:type="dxa" w:w="3096"/>
            <w:vAlign w:val="center"/>
          </w:tcPr>
          <w:p>
            <w:r/>
            <w:r>
              <w:rPr>
                <w:rFonts w:ascii="Aptos" w:hAnsi="Aptos"/>
                <w:b w:val="0"/>
                <w:sz w:val="18"/>
              </w:rPr>
              <w:t>Add stronger validation for primary IP versus additional IP configuration behavior, then publish.</w:t>
            </w:r>
          </w:p>
        </w:tc>
      </w:tr>
      <w:tr>
        <w:tc>
          <w:tcPr>
            <w:tcW w:type="dxa" w:w="1800"/>
            <w:vAlign w:val="center"/>
          </w:tcPr>
          <w:p>
            <w:pPr>
              <w:jc w:val="center"/>
            </w:pPr>
            <w:r/>
            <w:r>
              <w:rPr>
                <w:rFonts w:ascii="Aptos" w:hAnsi="Aptos"/>
                <w:b w:val="0"/>
                <w:sz w:val="18"/>
              </w:rPr>
              <w:t>Event Grid</w:t>
            </w:r>
          </w:p>
        </w:tc>
        <w:tc>
          <w:tcPr>
            <w:tcW w:type="dxa" w:w="2232"/>
            <w:vAlign w:val="center"/>
          </w:tcPr>
          <w:p>
            <w:pPr>
              <w:jc w:val="center"/>
            </w:pPr>
            <w:r/>
            <w:r>
              <w:rPr>
                <w:rFonts w:ascii="Aptos" w:hAnsi="Aptos"/>
                <w:b w:val="0"/>
                <w:sz w:val="18"/>
              </w:rPr>
              <w:t>Good – Ready to publish</w:t>
            </w:r>
          </w:p>
        </w:tc>
        <w:tc>
          <w:tcPr>
            <w:tcW w:type="dxa" w:w="3960"/>
            <w:vAlign w:val="center"/>
          </w:tcPr>
          <w:p>
            <w:r/>
            <w:r>
              <w:rPr>
                <w:rFonts w:ascii="Aptos" w:hAnsi="Aptos"/>
                <w:b w:val="0"/>
                <w:sz w:val="18"/>
              </w:rPr>
              <w:t>Good file split and clean composition. Identity and network-related options are already visible.</w:t>
            </w:r>
          </w:p>
        </w:tc>
        <w:tc>
          <w:tcPr>
            <w:tcW w:type="dxa" w:w="3096"/>
            <w:vAlign w:val="center"/>
          </w:tcPr>
          <w:p>
            <w:r/>
            <w:r>
              <w:rPr>
                <w:rFonts w:ascii="Aptos" w:hAnsi="Aptos"/>
                <w:b w:val="0"/>
                <w:sz w:val="18"/>
              </w:rPr>
              <w:t>Publish after adding test coverage for common subscription patterns and optional settings.</w:t>
            </w:r>
          </w:p>
        </w:tc>
      </w:tr>
      <w:tr>
        <w:tc>
          <w:tcPr>
            <w:tcW w:type="dxa" w:w="1800"/>
            <w:vAlign w:val="center"/>
          </w:tcPr>
          <w:p>
            <w:pPr>
              <w:jc w:val="center"/>
            </w:pPr>
            <w:r/>
            <w:r>
              <w:rPr>
                <w:rFonts w:ascii="Aptos" w:hAnsi="Aptos"/>
                <w:b w:val="0"/>
                <w:sz w:val="18"/>
              </w:rPr>
              <w:t>Storage Account</w:t>
            </w:r>
          </w:p>
        </w:tc>
        <w:tc>
          <w:tcPr>
            <w:tcW w:type="dxa" w:w="2232"/>
            <w:vAlign w:val="center"/>
          </w:tcPr>
          <w:p>
            <w:pPr>
              <w:jc w:val="center"/>
            </w:pPr>
            <w:r/>
            <w:r>
              <w:rPr>
                <w:rFonts w:ascii="Aptos" w:hAnsi="Aptos"/>
                <w:b w:val="0"/>
                <w:sz w:val="18"/>
              </w:rPr>
              <w:t>Excellent – Ready to publish</w:t>
            </w:r>
          </w:p>
        </w:tc>
        <w:tc>
          <w:tcPr>
            <w:tcW w:type="dxa" w:w="3960"/>
            <w:vAlign w:val="center"/>
          </w:tcPr>
          <w:p>
            <w:r/>
            <w:r>
              <w:rPr>
                <w:rFonts w:ascii="Aptos" w:hAnsi="Aptos"/>
                <w:b w:val="0"/>
                <w:sz w:val="18"/>
              </w:rPr>
              <w:t>Most complete module in the visible set. Strong coverage across containers, queues, tables, shares, lifecycle, and storage account settings.</w:t>
            </w:r>
          </w:p>
        </w:tc>
        <w:tc>
          <w:tcPr>
            <w:tcW w:type="dxa" w:w="3096"/>
            <w:vAlign w:val="center"/>
          </w:tcPr>
          <w:p>
            <w:r/>
            <w:r>
              <w:rPr>
                <w:rFonts w:ascii="Aptos" w:hAnsi="Aptos"/>
                <w:b w:val="0"/>
                <w:sz w:val="18"/>
              </w:rPr>
              <w:t>Publish immediately to the HCP private registry with semantic versioning and CI gates.</w:t>
            </w:r>
          </w:p>
        </w:tc>
      </w:tr>
      <w:tr>
        <w:tc>
          <w:tcPr>
            <w:tcW w:type="dxa" w:w="1800"/>
            <w:vAlign w:val="center"/>
          </w:tcPr>
          <w:p>
            <w:pPr>
              <w:jc w:val="center"/>
            </w:pPr>
            <w:r/>
            <w:r>
              <w:rPr>
                <w:rFonts w:ascii="Aptos" w:hAnsi="Aptos"/>
                <w:b w:val="0"/>
                <w:sz w:val="18"/>
              </w:rPr>
              <w:t>VNet Peering</w:t>
            </w:r>
          </w:p>
        </w:tc>
        <w:tc>
          <w:tcPr>
            <w:tcW w:type="dxa" w:w="2232"/>
            <w:vAlign w:val="center"/>
          </w:tcPr>
          <w:p>
            <w:pPr>
              <w:jc w:val="center"/>
            </w:pPr>
            <w:r/>
            <w:r>
              <w:rPr>
                <w:rFonts w:ascii="Aptos" w:hAnsi="Aptos"/>
                <w:b w:val="0"/>
                <w:sz w:val="18"/>
              </w:rPr>
              <w:t>Good – Publish after standardization</w:t>
            </w:r>
          </w:p>
        </w:tc>
        <w:tc>
          <w:tcPr>
            <w:tcW w:type="dxa" w:w="3960"/>
            <w:vAlign w:val="center"/>
          </w:tcPr>
          <w:p>
            <w:r/>
            <w:r>
              <w:rPr>
                <w:rFonts w:ascii="Aptos" w:hAnsi="Aptos"/>
                <w:b w:val="0"/>
                <w:sz w:val="18"/>
              </w:rPr>
              <w:t>Focused and reusable module with the right peering flags exposed. Main issue is standards consistency.</w:t>
            </w:r>
          </w:p>
        </w:tc>
        <w:tc>
          <w:tcPr>
            <w:tcW w:type="dxa" w:w="3096"/>
            <w:vAlign w:val="center"/>
          </w:tcPr>
          <w:p>
            <w:r/>
            <w:r>
              <w:rPr>
                <w:rFonts w:ascii="Aptos" w:hAnsi="Aptos"/>
                <w:b w:val="0"/>
                <w:sz w:val="18"/>
              </w:rPr>
              <w:t>Rename requirements.tf to versions.tf, add tests, then publish.</w:t>
            </w:r>
          </w:p>
        </w:tc>
      </w:tr>
      <w:tr>
        <w:tc>
          <w:tcPr>
            <w:tcW w:type="dxa" w:w="1800"/>
            <w:vAlign w:val="center"/>
          </w:tcPr>
          <w:p>
            <w:pPr>
              <w:jc w:val="center"/>
            </w:pPr>
            <w:r/>
            <w:r>
              <w:rPr>
                <w:rFonts w:ascii="Aptos" w:hAnsi="Aptos"/>
                <w:b w:val="0"/>
                <w:sz w:val="18"/>
              </w:rPr>
              <w:t>Windows Function App</w:t>
            </w:r>
          </w:p>
        </w:tc>
        <w:tc>
          <w:tcPr>
            <w:tcW w:type="dxa" w:w="2232"/>
            <w:vAlign w:val="center"/>
          </w:tcPr>
          <w:p>
            <w:pPr>
              <w:jc w:val="center"/>
            </w:pPr>
            <w:r/>
            <w:r>
              <w:rPr>
                <w:rFonts w:ascii="Aptos" w:hAnsi="Aptos"/>
                <w:b w:val="0"/>
                <w:sz w:val="18"/>
              </w:rPr>
              <w:t>Good – Publish after secret-handling cleanup</w:t>
            </w:r>
          </w:p>
        </w:tc>
        <w:tc>
          <w:tcPr>
            <w:tcW w:type="dxa" w:w="3960"/>
            <w:vAlign w:val="center"/>
          </w:tcPr>
          <w:p>
            <w:r/>
            <w:r>
              <w:rPr>
                <w:rFonts w:ascii="Aptos" w:hAnsi="Aptos"/>
                <w:b w:val="0"/>
                <w:sz w:val="18"/>
              </w:rPr>
              <w:t>Rich site configuration surface and good reuse potential. Main concern is handling secret-like inputs and file-standard consistency.</w:t>
            </w:r>
          </w:p>
        </w:tc>
        <w:tc>
          <w:tcPr>
            <w:tcW w:type="dxa" w:w="3096"/>
            <w:vAlign w:val="center"/>
          </w:tcPr>
          <w:p>
            <w:r/>
            <w:r>
              <w:rPr>
                <w:rFonts w:ascii="Aptos" w:hAnsi="Aptos"/>
                <w:b w:val="0"/>
                <w:sz w:val="18"/>
              </w:rPr>
              <w:t>Mark secret-like variables as sensitive, rename requirements.tf to versions.tf, add tests, then publish.</w:t>
            </w:r>
          </w:p>
        </w:tc>
      </w:tr>
      <w:tr>
        <w:tc>
          <w:tcPr>
            <w:tcW w:type="dxa" w:w="1800"/>
            <w:vAlign w:val="center"/>
          </w:tcPr>
          <w:p>
            <w:pPr>
              <w:jc w:val="center"/>
            </w:pPr>
            <w:r/>
            <w:r>
              <w:rPr>
                <w:rFonts w:ascii="Aptos" w:hAnsi="Aptos"/>
                <w:b w:val="0"/>
                <w:sz w:val="18"/>
              </w:rPr>
              <w:t>NSG Association</w:t>
            </w:r>
          </w:p>
        </w:tc>
        <w:tc>
          <w:tcPr>
            <w:tcW w:type="dxa" w:w="2232"/>
            <w:vAlign w:val="center"/>
          </w:tcPr>
          <w:p>
            <w:pPr>
              <w:jc w:val="center"/>
            </w:pPr>
            <w:r/>
            <w:r>
              <w:rPr>
                <w:rFonts w:ascii="Aptos" w:hAnsi="Aptos"/>
                <w:b w:val="0"/>
                <w:sz w:val="18"/>
              </w:rPr>
              <w:t>Basic – Merge or expand</w:t>
            </w:r>
          </w:p>
        </w:tc>
        <w:tc>
          <w:tcPr>
            <w:tcW w:type="dxa" w:w="3960"/>
            <w:vAlign w:val="center"/>
          </w:tcPr>
          <w:p>
            <w:r/>
            <w:r>
              <w:rPr>
                <w:rFonts w:ascii="Aptos" w:hAnsi="Aptos"/>
                <w:b w:val="0"/>
                <w:sz w:val="18"/>
              </w:rPr>
              <w:t>Too thin to stand alone as a strong enterprise module. It behaves more like a helper resource than a complete shared abstraction.</w:t>
            </w:r>
          </w:p>
        </w:tc>
        <w:tc>
          <w:tcPr>
            <w:tcW w:type="dxa" w:w="3096"/>
            <w:vAlign w:val="center"/>
          </w:tcPr>
          <w:p>
            <w:r/>
            <w:r>
              <w:rPr>
                <w:rFonts w:ascii="Aptos" w:hAnsi="Aptos"/>
                <w:b w:val="0"/>
                <w:sz w:val="18"/>
              </w:rPr>
              <w:t>Either merge into a broader network-security module or expand it to include rule management and stronger outputs.</w:t>
            </w:r>
          </w:p>
        </w:tc>
      </w:tr>
      <w:tr>
        <w:tc>
          <w:tcPr>
            <w:tcW w:type="dxa" w:w="1800"/>
            <w:vAlign w:val="center"/>
          </w:tcPr>
          <w:p>
            <w:pPr>
              <w:jc w:val="center"/>
            </w:pPr>
            <w:r/>
            <w:r>
              <w:rPr>
                <w:rFonts w:ascii="Aptos" w:hAnsi="Aptos"/>
                <w:b w:val="0"/>
                <w:sz w:val="18"/>
              </w:rPr>
              <w:t>Mixed / Availability VM test repo</w:t>
            </w:r>
          </w:p>
        </w:tc>
        <w:tc>
          <w:tcPr>
            <w:tcW w:type="dxa" w:w="2232"/>
            <w:vAlign w:val="center"/>
          </w:tcPr>
          <w:p>
            <w:pPr>
              <w:jc w:val="center"/>
            </w:pPr>
            <w:r/>
            <w:r>
              <w:rPr>
                <w:rFonts w:ascii="Aptos" w:hAnsi="Aptos"/>
                <w:b w:val="0"/>
                <w:sz w:val="18"/>
              </w:rPr>
              <w:t>Incomplete – Do not publish</w:t>
            </w:r>
          </w:p>
        </w:tc>
        <w:tc>
          <w:tcPr>
            <w:tcW w:type="dxa" w:w="3960"/>
            <w:vAlign w:val="center"/>
          </w:tcPr>
          <w:p>
            <w:r/>
            <w:r>
              <w:rPr>
                <w:rFonts w:ascii="Aptos" w:hAnsi="Aptos"/>
                <w:b w:val="0"/>
                <w:sz w:val="18"/>
              </w:rPr>
              <w:t>Experimental or nonstandard structure, inconsistent file naming, and repo hygiene issues make it unsuitable for shared registry use.</w:t>
            </w:r>
          </w:p>
        </w:tc>
        <w:tc>
          <w:tcPr>
            <w:tcW w:type="dxa" w:w="3096"/>
            <w:vAlign w:val="center"/>
          </w:tcPr>
          <w:p>
            <w:r/>
            <w:r>
              <w:rPr>
                <w:rFonts w:ascii="Aptos" w:hAnsi="Aptos"/>
                <w:b w:val="0"/>
                <w:sz w:val="18"/>
              </w:rPr>
              <w:t>Keep internal only until files are standardized, non-Terraform assets are removed, and test coverage is completed.</w:t>
            </w:r>
          </w:p>
        </w:tc>
      </w:tr>
    </w:tbl>
    <w:p/>
    <w:p>
      <w:pPr>
        <w:pStyle w:val="Heading1"/>
      </w:pPr>
      <w:r>
        <w:t>Windows VM detailed assessment</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944"/>
            <w:shd w:fill="366092"/>
            <w:vAlign w:val="center"/>
          </w:tcPr>
          <w:p>
            <w:pPr>
              <w:jc w:val="center"/>
            </w:pPr>
            <w:r/>
            <w:r>
              <w:rPr>
                <w:rFonts w:ascii="Aptos" w:hAnsi="Aptos"/>
                <w:b/>
                <w:color w:val="FFFFFF"/>
                <w:sz w:val="19"/>
              </w:rPr>
              <w:t>Area</w:t>
            </w:r>
          </w:p>
        </w:tc>
        <w:tc>
          <w:tcPr>
            <w:tcW w:type="dxa" w:w="1584"/>
            <w:shd w:fill="366092"/>
            <w:vAlign w:val="center"/>
          </w:tcPr>
          <w:p>
            <w:pPr>
              <w:jc w:val="center"/>
            </w:pPr>
            <w:r/>
            <w:r>
              <w:rPr>
                <w:rFonts w:ascii="Aptos" w:hAnsi="Aptos"/>
                <w:b/>
                <w:color w:val="FFFFFF"/>
                <w:sz w:val="19"/>
              </w:rPr>
              <w:t>Assessment</w:t>
            </w:r>
          </w:p>
        </w:tc>
        <w:tc>
          <w:tcPr>
            <w:tcW w:type="dxa" w:w="3744"/>
            <w:shd w:fill="366092"/>
            <w:vAlign w:val="center"/>
          </w:tcPr>
          <w:p>
            <w:pPr>
              <w:jc w:val="center"/>
            </w:pPr>
            <w:r/>
            <w:r>
              <w:rPr>
                <w:rFonts w:ascii="Aptos" w:hAnsi="Aptos"/>
                <w:b/>
                <w:color w:val="FFFFFF"/>
                <w:sz w:val="19"/>
              </w:rPr>
              <w:t>Client-facing observation</w:t>
            </w:r>
          </w:p>
        </w:tc>
        <w:tc>
          <w:tcPr>
            <w:tcW w:type="dxa" w:w="3528"/>
            <w:shd w:fill="366092"/>
            <w:vAlign w:val="center"/>
          </w:tcPr>
          <w:p>
            <w:pPr>
              <w:jc w:val="center"/>
            </w:pPr>
            <w:r/>
            <w:r>
              <w:rPr>
                <w:rFonts w:ascii="Aptos" w:hAnsi="Aptos"/>
                <w:b/>
                <w:color w:val="FFFFFF"/>
                <w:sz w:val="19"/>
              </w:rPr>
              <w:t>Recommended action</w:t>
            </w:r>
          </w:p>
        </w:tc>
      </w:tr>
      <w:tr>
        <w:tc>
          <w:tcPr>
            <w:tcW w:type="dxa" w:w="1944"/>
            <w:vAlign w:val="center"/>
          </w:tcPr>
          <w:p>
            <w:pPr>
              <w:jc w:val="center"/>
            </w:pPr>
            <w:r/>
            <w:r>
              <w:rPr>
                <w:rFonts w:ascii="Aptos" w:hAnsi="Aptos"/>
                <w:b w:val="0"/>
                <w:sz w:val="17"/>
              </w:rPr>
              <w:t>Overall module shape</w:t>
            </w:r>
          </w:p>
        </w:tc>
        <w:tc>
          <w:tcPr>
            <w:tcW w:type="dxa" w:w="1584"/>
            <w:vAlign w:val="center"/>
          </w:tcPr>
          <w:p>
            <w:pPr>
              <w:jc w:val="center"/>
            </w:pPr>
            <w:r/>
            <w:r>
              <w:rPr>
                <w:rFonts w:ascii="Aptos" w:hAnsi="Aptos"/>
                <w:b w:val="0"/>
                <w:sz w:val="17"/>
              </w:rPr>
              <w:t>Refactor, not rewrite</w:t>
            </w:r>
          </w:p>
        </w:tc>
        <w:tc>
          <w:tcPr>
            <w:tcW w:type="dxa" w:w="3744"/>
            <w:vAlign w:val="center"/>
          </w:tcPr>
          <w:p>
            <w:r/>
            <w:r>
              <w:rPr>
                <w:rFonts w:ascii="Aptos" w:hAnsi="Aptos"/>
                <w:b w:val="0"/>
                <w:sz w:val="17"/>
              </w:rPr>
              <w:t>The module already supports most enterprise Windows VM use cases. The issue is not missing functionality; it is that the module boundary is too broad for clean reuse across teams.</w:t>
            </w:r>
          </w:p>
        </w:tc>
        <w:tc>
          <w:tcPr>
            <w:tcW w:type="dxa" w:w="3528"/>
            <w:vAlign w:val="center"/>
          </w:tcPr>
          <w:p>
            <w:r/>
            <w:r>
              <w:rPr>
                <w:rFonts w:ascii="Aptos" w:hAnsi="Aptos"/>
                <w:b w:val="0"/>
                <w:sz w:val="17"/>
              </w:rPr>
              <w:t>Keep the existing resource logic, but reduce coupling by separating optional operational concerns from the base VM module.</w:t>
            </w:r>
          </w:p>
        </w:tc>
      </w:tr>
      <w:tr>
        <w:tc>
          <w:tcPr>
            <w:tcW w:type="dxa" w:w="1944"/>
            <w:vAlign w:val="center"/>
          </w:tcPr>
          <w:p>
            <w:pPr>
              <w:jc w:val="center"/>
            </w:pPr>
            <w:r/>
            <w:r>
              <w:rPr>
                <w:rFonts w:ascii="Aptos" w:hAnsi="Aptos"/>
                <w:b w:val="0"/>
                <w:sz w:val="17"/>
              </w:rPr>
              <w:t>Base module scope</w:t>
            </w:r>
          </w:p>
        </w:tc>
        <w:tc>
          <w:tcPr>
            <w:tcW w:type="dxa" w:w="1584"/>
            <w:vAlign w:val="center"/>
          </w:tcPr>
          <w:p>
            <w:pPr>
              <w:jc w:val="center"/>
            </w:pPr>
            <w:r/>
            <w:r>
              <w:rPr>
                <w:rFonts w:ascii="Aptos" w:hAnsi="Aptos"/>
                <w:b w:val="0"/>
                <w:sz w:val="17"/>
              </w:rPr>
              <w:t>Keep</w:t>
            </w:r>
          </w:p>
        </w:tc>
        <w:tc>
          <w:tcPr>
            <w:tcW w:type="dxa" w:w="3744"/>
            <w:vAlign w:val="center"/>
          </w:tcPr>
          <w:p>
            <w:r/>
            <w:r>
              <w:rPr>
                <w:rFonts w:ascii="Aptos" w:hAnsi="Aptos"/>
                <w:b w:val="0"/>
                <w:sz w:val="17"/>
              </w:rPr>
              <w:t>The current VM, NIC, OS disk, identity, availability set, and data disk handling belong naturally in the core module.</w:t>
            </w:r>
          </w:p>
        </w:tc>
        <w:tc>
          <w:tcPr>
            <w:tcW w:type="dxa" w:w="3528"/>
            <w:vAlign w:val="center"/>
          </w:tcPr>
          <w:p>
            <w:r/>
            <w:r>
              <w:rPr>
                <w:rFonts w:ascii="Aptos" w:hAnsi="Aptos"/>
                <w:b w:val="0"/>
                <w:sz w:val="17"/>
              </w:rPr>
              <w:t>Retain these in a windows-vm-core module.</w:t>
            </w:r>
          </w:p>
        </w:tc>
      </w:tr>
      <w:tr>
        <w:tc>
          <w:tcPr>
            <w:tcW w:type="dxa" w:w="1944"/>
            <w:vAlign w:val="center"/>
          </w:tcPr>
          <w:p>
            <w:pPr>
              <w:jc w:val="center"/>
            </w:pPr>
            <w:r/>
            <w:r>
              <w:rPr>
                <w:rFonts w:ascii="Aptos" w:hAnsi="Aptos"/>
                <w:b w:val="0"/>
                <w:sz w:val="17"/>
              </w:rPr>
              <w:t>AD join</w:t>
            </w:r>
          </w:p>
        </w:tc>
        <w:tc>
          <w:tcPr>
            <w:tcW w:type="dxa" w:w="1584"/>
            <w:vAlign w:val="center"/>
          </w:tcPr>
          <w:p>
            <w:pPr>
              <w:jc w:val="center"/>
            </w:pPr>
            <w:r/>
            <w:r>
              <w:rPr>
                <w:rFonts w:ascii="Aptos" w:hAnsi="Aptos"/>
                <w:b w:val="0"/>
                <w:sz w:val="17"/>
              </w:rPr>
              <w:t>Too tightly coupled</w:t>
            </w:r>
          </w:p>
        </w:tc>
        <w:tc>
          <w:tcPr>
            <w:tcW w:type="dxa" w:w="3744"/>
            <w:vAlign w:val="center"/>
          </w:tcPr>
          <w:p>
            <w:r/>
            <w:r>
              <w:rPr>
                <w:rFonts w:ascii="Aptos" w:hAnsi="Aptos"/>
                <w:b w:val="0"/>
                <w:sz w:val="17"/>
              </w:rPr>
              <w:t>AD join introduces secrets, OU placement, DNS or network dependency, and extension lifecycle failure modes that are distinct from base VM provisioning.</w:t>
            </w:r>
          </w:p>
        </w:tc>
        <w:tc>
          <w:tcPr>
            <w:tcW w:type="dxa" w:w="3528"/>
            <w:vAlign w:val="center"/>
          </w:tcPr>
          <w:p>
            <w:r/>
            <w:r>
              <w:rPr>
                <w:rFonts w:ascii="Aptos" w:hAnsi="Aptos"/>
                <w:b w:val="0"/>
                <w:sz w:val="17"/>
              </w:rPr>
              <w:t>Move AD join into an optional windows-vm-ad-join companion module or isolated submodule.</w:t>
            </w:r>
          </w:p>
        </w:tc>
      </w:tr>
      <w:tr>
        <w:tc>
          <w:tcPr>
            <w:tcW w:type="dxa" w:w="1944"/>
            <w:vAlign w:val="center"/>
          </w:tcPr>
          <w:p>
            <w:pPr>
              <w:jc w:val="center"/>
            </w:pPr>
            <w:r/>
            <w:r>
              <w:rPr>
                <w:rFonts w:ascii="Aptos" w:hAnsi="Aptos"/>
                <w:b w:val="0"/>
                <w:sz w:val="17"/>
              </w:rPr>
              <w:t>Disk formatting / custom script extension</w:t>
            </w:r>
          </w:p>
        </w:tc>
        <w:tc>
          <w:tcPr>
            <w:tcW w:type="dxa" w:w="1584"/>
            <w:vAlign w:val="center"/>
          </w:tcPr>
          <w:p>
            <w:pPr>
              <w:jc w:val="center"/>
            </w:pPr>
            <w:r/>
            <w:r>
              <w:rPr>
                <w:rFonts w:ascii="Aptos" w:hAnsi="Aptos"/>
                <w:b w:val="0"/>
                <w:sz w:val="17"/>
              </w:rPr>
              <w:t>Too tightly coupled</w:t>
            </w:r>
          </w:p>
        </w:tc>
        <w:tc>
          <w:tcPr>
            <w:tcW w:type="dxa" w:w="3744"/>
            <w:vAlign w:val="center"/>
          </w:tcPr>
          <w:p>
            <w:r/>
            <w:r>
              <w:rPr>
                <w:rFonts w:ascii="Aptos" w:hAnsi="Aptos"/>
                <w:b w:val="0"/>
                <w:sz w:val="17"/>
              </w:rPr>
              <w:t>Guest extension behavior is operationally separate from VM creation and is not required by every consumer.</w:t>
            </w:r>
          </w:p>
        </w:tc>
        <w:tc>
          <w:tcPr>
            <w:tcW w:type="dxa" w:w="3528"/>
            <w:vAlign w:val="center"/>
          </w:tcPr>
          <w:p>
            <w:r/>
            <w:r>
              <w:rPr>
                <w:rFonts w:ascii="Aptos" w:hAnsi="Aptos"/>
                <w:b w:val="0"/>
                <w:sz w:val="17"/>
              </w:rPr>
              <w:t>Move disk formatting or custom script logic into an optional windows-vm-disk-extension companion module or isolated submodule.</w:t>
            </w:r>
          </w:p>
        </w:tc>
      </w:tr>
      <w:tr>
        <w:tc>
          <w:tcPr>
            <w:tcW w:type="dxa" w:w="1944"/>
            <w:vAlign w:val="center"/>
          </w:tcPr>
          <w:p>
            <w:pPr>
              <w:jc w:val="center"/>
            </w:pPr>
            <w:r/>
            <w:r>
              <w:rPr>
                <w:rFonts w:ascii="Aptos" w:hAnsi="Aptos"/>
                <w:b w:val="0"/>
                <w:sz w:val="17"/>
              </w:rPr>
              <w:t>Input interface</w:t>
            </w:r>
          </w:p>
        </w:tc>
        <w:tc>
          <w:tcPr>
            <w:tcW w:type="dxa" w:w="1584"/>
            <w:vAlign w:val="center"/>
          </w:tcPr>
          <w:p>
            <w:pPr>
              <w:jc w:val="center"/>
            </w:pPr>
            <w:r/>
            <w:r>
              <w:rPr>
                <w:rFonts w:ascii="Aptos" w:hAnsi="Aptos"/>
                <w:b w:val="0"/>
                <w:sz w:val="17"/>
              </w:rPr>
              <w:t>Needs simplification</w:t>
            </w:r>
          </w:p>
        </w:tc>
        <w:tc>
          <w:tcPr>
            <w:tcW w:type="dxa" w:w="3744"/>
            <w:vAlign w:val="center"/>
          </w:tcPr>
          <w:p>
            <w:r/>
            <w:r>
              <w:rPr>
                <w:rFonts w:ascii="Aptos" w:hAnsi="Aptos"/>
                <w:b w:val="0"/>
                <w:sz w:val="17"/>
              </w:rPr>
              <w:t>The module currently exposes many flat variables across NIC, image, disk, identity, availability, patching, AD, and extensions. This increases onboarding and maintenance overhead.</w:t>
            </w:r>
          </w:p>
        </w:tc>
        <w:tc>
          <w:tcPr>
            <w:tcW w:type="dxa" w:w="3528"/>
            <w:vAlign w:val="center"/>
          </w:tcPr>
          <w:p>
            <w:r/>
            <w:r>
              <w:rPr>
                <w:rFonts w:ascii="Aptos" w:hAnsi="Aptos"/>
                <w:b w:val="0"/>
                <w:sz w:val="17"/>
              </w:rPr>
              <w:t>Group related inputs into objects such as nic, image, os_disk, identity, availability, domain_join, and extensions.</w:t>
            </w:r>
          </w:p>
        </w:tc>
      </w:tr>
      <w:tr>
        <w:tc>
          <w:tcPr>
            <w:tcW w:type="dxa" w:w="1944"/>
            <w:vAlign w:val="center"/>
          </w:tcPr>
          <w:p>
            <w:pPr>
              <w:jc w:val="center"/>
            </w:pPr>
            <w:r/>
            <w:r>
              <w:rPr>
                <w:rFonts w:ascii="Aptos" w:hAnsi="Aptos"/>
                <w:b w:val="0"/>
                <w:sz w:val="17"/>
              </w:rPr>
              <w:t>NIC drift handling</w:t>
            </w:r>
          </w:p>
        </w:tc>
        <w:tc>
          <w:tcPr>
            <w:tcW w:type="dxa" w:w="1584"/>
            <w:vAlign w:val="center"/>
          </w:tcPr>
          <w:p>
            <w:pPr>
              <w:jc w:val="center"/>
            </w:pPr>
            <w:r/>
            <w:r>
              <w:rPr>
                <w:rFonts w:ascii="Aptos" w:hAnsi="Aptos"/>
                <w:b w:val="0"/>
                <w:sz w:val="17"/>
              </w:rPr>
              <w:t>Needs correction</w:t>
            </w:r>
          </w:p>
        </w:tc>
        <w:tc>
          <w:tcPr>
            <w:tcW w:type="dxa" w:w="3744"/>
            <w:vAlign w:val="center"/>
          </w:tcPr>
          <w:p>
            <w:r/>
            <w:r>
              <w:rPr>
                <w:rFonts w:ascii="Aptos" w:hAnsi="Aptos"/>
                <w:b w:val="0"/>
                <w:sz w:val="17"/>
              </w:rPr>
              <w:t>ignore_changes on NIC IP configuration hides drift on a critical network attribute and is too risky as a default shared-module behavior.</w:t>
            </w:r>
          </w:p>
        </w:tc>
        <w:tc>
          <w:tcPr>
            <w:tcW w:type="dxa" w:w="3528"/>
            <w:vAlign w:val="center"/>
          </w:tcPr>
          <w:p>
            <w:r/>
            <w:r>
              <w:rPr>
                <w:rFonts w:ascii="Aptos" w:hAnsi="Aptos"/>
                <w:b w:val="0"/>
                <w:sz w:val="17"/>
              </w:rPr>
              <w:t>Model additional IP configuration explicitly as desired state. Use ignore_changes only as a documented exception pattern.</w:t>
            </w:r>
          </w:p>
        </w:tc>
      </w:tr>
      <w:tr>
        <w:tc>
          <w:tcPr>
            <w:tcW w:type="dxa" w:w="1944"/>
            <w:vAlign w:val="center"/>
          </w:tcPr>
          <w:p>
            <w:pPr>
              <w:jc w:val="center"/>
            </w:pPr>
            <w:r/>
            <w:r>
              <w:rPr>
                <w:rFonts w:ascii="Aptos" w:hAnsi="Aptos"/>
                <w:b w:val="0"/>
                <w:sz w:val="17"/>
              </w:rPr>
              <w:t>Availability model</w:t>
            </w:r>
          </w:p>
        </w:tc>
        <w:tc>
          <w:tcPr>
            <w:tcW w:type="dxa" w:w="1584"/>
            <w:vAlign w:val="center"/>
          </w:tcPr>
          <w:p>
            <w:pPr>
              <w:jc w:val="center"/>
            </w:pPr>
            <w:r/>
            <w:r>
              <w:rPr>
                <w:rFonts w:ascii="Aptos" w:hAnsi="Aptos"/>
                <w:b w:val="0"/>
                <w:sz w:val="17"/>
              </w:rPr>
              <w:t>Too opinionated</w:t>
            </w:r>
          </w:p>
        </w:tc>
        <w:tc>
          <w:tcPr>
            <w:tcW w:type="dxa" w:w="3744"/>
            <w:vAlign w:val="center"/>
          </w:tcPr>
          <w:p>
            <w:r/>
            <w:r>
              <w:rPr>
                <w:rFonts w:ascii="Aptos" w:hAnsi="Aptos"/>
                <w:b w:val="0"/>
                <w:sz w:val="17"/>
              </w:rPr>
              <w:t>Defaulting availability set creation forces one deployment pattern onto all consumers.</w:t>
            </w:r>
          </w:p>
        </w:tc>
        <w:tc>
          <w:tcPr>
            <w:tcW w:type="dxa" w:w="3528"/>
            <w:vAlign w:val="center"/>
          </w:tcPr>
          <w:p>
            <w:r/>
            <w:r>
              <w:rPr>
                <w:rFonts w:ascii="Aptos" w:hAnsi="Aptos"/>
                <w:b w:val="0"/>
                <w:sz w:val="17"/>
              </w:rPr>
              <w:t>Default to no availability set unless requested. Allow either zone or availability_set_id, with validation to prevent both being used together.</w:t>
            </w:r>
          </w:p>
        </w:tc>
      </w:tr>
      <w:tr>
        <w:tc>
          <w:tcPr>
            <w:tcW w:type="dxa" w:w="1944"/>
            <w:vAlign w:val="center"/>
          </w:tcPr>
          <w:p>
            <w:pPr>
              <w:jc w:val="center"/>
            </w:pPr>
            <w:r/>
            <w:r>
              <w:rPr>
                <w:rFonts w:ascii="Aptos" w:hAnsi="Aptos"/>
                <w:b w:val="0"/>
                <w:sz w:val="17"/>
              </w:rPr>
              <w:t>Input validation</w:t>
            </w:r>
          </w:p>
        </w:tc>
        <w:tc>
          <w:tcPr>
            <w:tcW w:type="dxa" w:w="1584"/>
            <w:vAlign w:val="center"/>
          </w:tcPr>
          <w:p>
            <w:pPr>
              <w:jc w:val="center"/>
            </w:pPr>
            <w:r/>
            <w:r>
              <w:rPr>
                <w:rFonts w:ascii="Aptos" w:hAnsi="Aptos"/>
                <w:b w:val="0"/>
                <w:sz w:val="17"/>
              </w:rPr>
              <w:t>Needs tightening</w:t>
            </w:r>
          </w:p>
        </w:tc>
        <w:tc>
          <w:tcPr>
            <w:tcW w:type="dxa" w:w="3744"/>
            <w:vAlign w:val="center"/>
          </w:tcPr>
          <w:p>
            <w:r/>
            <w:r>
              <w:rPr>
                <w:rFonts w:ascii="Aptos" w:hAnsi="Aptos"/>
                <w:b w:val="0"/>
                <w:sz w:val="17"/>
              </w:rPr>
              <w:t>A few contracts appear weak or ambiguous, including primary private IP shape, Windows custom_data wording, identity pairing rules, and image source exclusivity.</w:t>
            </w:r>
          </w:p>
        </w:tc>
        <w:tc>
          <w:tcPr>
            <w:tcW w:type="dxa" w:w="3528"/>
            <w:vAlign w:val="center"/>
          </w:tcPr>
          <w:p>
            <w:r/>
            <w:r>
              <w:rPr>
                <w:rFonts w:ascii="Aptos" w:hAnsi="Aptos"/>
                <w:b w:val="0"/>
                <w:sz w:val="17"/>
              </w:rPr>
              <w:t>Add validation rules, correct variable descriptions, and enforce mutual exclusivity where required.</w:t>
            </w:r>
          </w:p>
        </w:tc>
      </w:tr>
      <w:tr>
        <w:tc>
          <w:tcPr>
            <w:tcW w:type="dxa" w:w="1944"/>
            <w:vAlign w:val="center"/>
          </w:tcPr>
          <w:p>
            <w:pPr>
              <w:jc w:val="center"/>
            </w:pPr>
            <w:r/>
            <w:r>
              <w:rPr>
                <w:rFonts w:ascii="Aptos" w:hAnsi="Aptos"/>
                <w:b w:val="0"/>
                <w:sz w:val="17"/>
              </w:rPr>
              <w:t>Test security</w:t>
            </w:r>
          </w:p>
        </w:tc>
        <w:tc>
          <w:tcPr>
            <w:tcW w:type="dxa" w:w="1584"/>
            <w:vAlign w:val="center"/>
          </w:tcPr>
          <w:p>
            <w:pPr>
              <w:jc w:val="center"/>
            </w:pPr>
            <w:r/>
            <w:r>
              <w:rPr>
                <w:rFonts w:ascii="Aptos" w:hAnsi="Aptos"/>
                <w:b w:val="0"/>
                <w:sz w:val="17"/>
              </w:rPr>
              <w:t>Blocker before publish</w:t>
            </w:r>
          </w:p>
        </w:tc>
        <w:tc>
          <w:tcPr>
            <w:tcW w:type="dxa" w:w="3744"/>
            <w:vAlign w:val="center"/>
          </w:tcPr>
          <w:p>
            <w:r/>
            <w:r>
              <w:rPr>
                <w:rFonts w:ascii="Aptos" w:hAnsi="Aptos"/>
                <w:b w:val="0"/>
                <w:sz w:val="17"/>
              </w:rPr>
              <w:t>Hardcoded admin credentials in test files are not acceptable for a shared enterprise module.</w:t>
            </w:r>
          </w:p>
        </w:tc>
        <w:tc>
          <w:tcPr>
            <w:tcW w:type="dxa" w:w="3528"/>
            <w:vAlign w:val="center"/>
          </w:tcPr>
          <w:p>
            <w:r/>
            <w:r>
              <w:rPr>
                <w:rFonts w:ascii="Aptos" w:hAnsi="Aptos"/>
                <w:b w:val="0"/>
                <w:sz w:val="17"/>
              </w:rPr>
              <w:t>Replace with generated, mocked, or environment-driven test values before publication.</w:t>
            </w:r>
          </w:p>
        </w:tc>
      </w:tr>
    </w:tbl>
    <w:p/>
    <w:p>
      <w:pPr>
        <w:pStyle w:val="Heading1"/>
      </w:pPr>
      <w:r>
        <w:t>Recommended publish wave</w:t>
      </w:r>
    </w:p>
    <w:tbl>
      <w:tblPr>
        <w:tblStyle w:val="TableGrid"/>
        <w:tblW w:type="auto" w:w="0"/>
        <w:jc w:val="center"/>
        <w:tblLayout w:type="fixed"/>
        <w:tblLook w:firstColumn="1" w:firstRow="1" w:lastColumn="0" w:lastRow="0" w:noHBand="0" w:noVBand="1" w:val="04A0"/>
      </w:tblPr>
      <w:tblGrid>
        <w:gridCol w:w="5040"/>
        <w:gridCol w:w="5040"/>
      </w:tblGrid>
      <w:tr>
        <w:tc>
          <w:tcPr>
            <w:tcW w:type="dxa" w:w="2304"/>
            <w:shd w:fill="5B9BD5"/>
            <w:vAlign w:val="center"/>
          </w:tcPr>
          <w:p>
            <w:pPr>
              <w:jc w:val="center"/>
            </w:pPr>
            <w:r/>
            <w:r>
              <w:rPr>
                <w:rFonts w:ascii="Aptos" w:hAnsi="Aptos"/>
                <w:b/>
                <w:color w:val="FFFFFF"/>
                <w:sz w:val="20"/>
              </w:rPr>
              <w:t>Wave</w:t>
            </w:r>
          </w:p>
        </w:tc>
        <w:tc>
          <w:tcPr>
            <w:tcW w:type="dxa" w:w="8352"/>
            <w:shd w:fill="5B9BD5"/>
            <w:vAlign w:val="center"/>
          </w:tcPr>
          <w:p>
            <w:pPr>
              <w:jc w:val="center"/>
            </w:pPr>
            <w:r/>
            <w:r>
              <w:rPr>
                <w:rFonts w:ascii="Aptos" w:hAnsi="Aptos"/>
                <w:b/>
                <w:color w:val="FFFFFF"/>
                <w:sz w:val="20"/>
              </w:rPr>
              <w:t>Modules</w:t>
            </w:r>
          </w:p>
        </w:tc>
      </w:tr>
      <w:tr>
        <w:tc>
          <w:tcPr>
            <w:tcW w:type="dxa" w:w="5040"/>
            <w:vAlign w:val="center"/>
          </w:tcPr>
          <w:p>
            <w:pPr>
              <w:jc w:val="center"/>
            </w:pPr>
            <w:r/>
            <w:r>
              <w:rPr>
                <w:rFonts w:ascii="Aptos" w:hAnsi="Aptos"/>
                <w:b/>
                <w:sz w:val="18"/>
              </w:rPr>
              <w:t>Wave 1 – Publish now</w:t>
            </w:r>
          </w:p>
        </w:tc>
        <w:tc>
          <w:tcPr>
            <w:tcW w:type="dxa" w:w="5040"/>
            <w:vAlign w:val="center"/>
          </w:tcPr>
          <w:p>
            <w:r/>
            <w:r>
              <w:rPr>
                <w:rFonts w:ascii="Aptos" w:hAnsi="Aptos"/>
                <w:b w:val="0"/>
                <w:sz w:val="18"/>
              </w:rPr>
              <w:t>MSSQL Database, Storage Account, Log Analytics, Load Balancer, Network Interface, Event Grid</w:t>
            </w:r>
          </w:p>
        </w:tc>
      </w:tr>
      <w:tr>
        <w:tc>
          <w:tcPr>
            <w:tcW w:type="dxa" w:w="5040"/>
            <w:vAlign w:val="center"/>
          </w:tcPr>
          <w:p>
            <w:pPr>
              <w:jc w:val="center"/>
            </w:pPr>
            <w:r/>
            <w:r>
              <w:rPr>
                <w:rFonts w:ascii="Aptos" w:hAnsi="Aptos"/>
                <w:b/>
                <w:sz w:val="18"/>
              </w:rPr>
              <w:t>Wave 2 – Publish after light remediation</w:t>
            </w:r>
          </w:p>
        </w:tc>
        <w:tc>
          <w:tcPr>
            <w:tcW w:type="dxa" w:w="5040"/>
            <w:vAlign w:val="center"/>
          </w:tcPr>
          <w:p>
            <w:r/>
            <w:r>
              <w:rPr>
                <w:rFonts w:ascii="Aptos" w:hAnsi="Aptos"/>
                <w:b w:val="0"/>
                <w:sz w:val="18"/>
              </w:rPr>
              <w:t>VNet Peering, Windows Function App, Windows VM</w:t>
            </w:r>
          </w:p>
        </w:tc>
      </w:tr>
      <w:tr>
        <w:tc>
          <w:tcPr>
            <w:tcW w:type="dxa" w:w="5040"/>
            <w:vAlign w:val="center"/>
          </w:tcPr>
          <w:p>
            <w:pPr>
              <w:jc w:val="center"/>
            </w:pPr>
            <w:r/>
            <w:r>
              <w:rPr>
                <w:rFonts w:ascii="Aptos" w:hAnsi="Aptos"/>
                <w:b/>
                <w:sz w:val="18"/>
              </w:rPr>
              <w:t>Wave 3 – Remediate before publish</w:t>
            </w:r>
          </w:p>
        </w:tc>
        <w:tc>
          <w:tcPr>
            <w:tcW w:type="dxa" w:w="5040"/>
            <w:vAlign w:val="center"/>
          </w:tcPr>
          <w:p>
            <w:r/>
            <w:r>
              <w:rPr>
                <w:rFonts w:ascii="Aptos" w:hAnsi="Aptos"/>
                <w:b w:val="0"/>
                <w:sz w:val="18"/>
              </w:rPr>
              <w:t>Private DNS, Container Agent, NSG Association</w:t>
            </w:r>
          </w:p>
        </w:tc>
      </w:tr>
      <w:tr>
        <w:tc>
          <w:tcPr>
            <w:tcW w:type="dxa" w:w="5040"/>
            <w:vAlign w:val="center"/>
          </w:tcPr>
          <w:p>
            <w:pPr>
              <w:jc w:val="center"/>
            </w:pPr>
            <w:r/>
            <w:r>
              <w:rPr>
                <w:rFonts w:ascii="Aptos" w:hAnsi="Aptos"/>
                <w:b/>
                <w:sz w:val="18"/>
              </w:rPr>
              <w:t>Do not publish yet</w:t>
            </w:r>
          </w:p>
        </w:tc>
        <w:tc>
          <w:tcPr>
            <w:tcW w:type="dxa" w:w="5040"/>
            <w:vAlign w:val="center"/>
          </w:tcPr>
          <w:p>
            <w:r/>
            <w:r>
              <w:rPr>
                <w:rFonts w:ascii="Aptos" w:hAnsi="Aptos"/>
                <w:b w:val="0"/>
                <w:sz w:val="18"/>
              </w:rPr>
              <w:t>Mixed / Availability VM test repo</w:t>
            </w:r>
          </w:p>
        </w:tc>
      </w:tr>
    </w:tbl>
    <w:p/>
    <w:p>
      <w:pPr>
        <w:pStyle w:val="Heading1"/>
      </w:pPr>
      <w:r>
        <w:t>Final recommendation</w:t>
      </w:r>
    </w:p>
    <w:p>
      <w:pPr/>
      <w:r>
        <w:t>Compeer’s distributed module model is the right direction for enterprise reuse. Most modules do not need wholesale rewrites; they need standardization, targeted hardening, and controlled publication to the HCP private registry.</w:t>
      </w:r>
    </w:p>
    <w:p>
      <w:pPr/>
      <w:r>
        <w:t>The strongest immediate publish candidates are MSSQL Database, Storage Account, Log Analytics, Load Balancer, Network Interface, and Event Grid.</w:t>
      </w:r>
    </w:p>
    <w:p>
      <w:pPr/>
      <w:r>
        <w:t>Windows VM should be treated as a refactor candidate rather than a rewrite candidate: retain the implementation, narrow the base contract, and move AD join plus guest-extension behavior into optional companion modules.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6609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F5F5F"/>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