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rial" w:hAnsi="Arial"/>
          <w:b/>
          <w:color w:val="194A84"/>
          <w:sz w:val="48"/>
        </w:rPr>
        <w:t>Proposed Enterprise IaC Operating Plan</w:t>
      </w:r>
    </w:p>
    <w:p>
      <w:pPr>
        <w:jc w:val="center"/>
      </w:pPr>
      <w:r>
        <w:rPr>
          <w:rFonts w:ascii="Arial" w:hAnsi="Arial"/>
          <w:b w:val="0"/>
          <w:color w:val="444444"/>
          <w:sz w:val="26"/>
        </w:rPr>
        <w:t>Azure DevOps + HCP Terraform | Future-proof for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C5D9F1"/>
          <w:left w:val="single" w:sz="10" w:space="0" w:color="C5D9F1"/>
          <w:bottom w:val="single" w:sz="10" w:space="0" w:color="C5D9F1"/>
          <w:right w:val="single" w:sz="10" w:space="0" w:color="C5D9F1"/>
          <w:insideH w:val="single" w:sz="10" w:space="0" w:color="C5D9F1"/>
          <w:insideV w:val="single" w:sz="10" w:space="0" w:color="C5D9F1"/>
        </w:tblBorders>
      </w:tblPr>
      <w:tblGrid>
        <w:gridCol w:w="9360"/>
      </w:tblGrid>
      <w:tr>
        <w:tc>
          <w:tcPr>
            <w:tcW w:type="dxa" w:w="9936"/>
            <w:shd w:fill="D9EAF7"/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194A84"/>
                <w:sz w:val="21"/>
              </w:rPr>
              <w:t xml:space="preserve">Purpose. </w:t>
            </w:r>
            <w:r>
              <w:rPr>
                <w:rFonts w:ascii="Arial" w:hAnsi="Arial"/>
                <w:sz w:val="21"/>
              </w:rPr>
              <w:t>This document turns the immediate quick wins from discovery into a practical enterprise operating pattern for infrastructure-as-code. It keeps the client’s current Azure DevOps and HCP Terraform investment, while defining a cleaner target model for branching, workspace mapping, policy enforcement, module governance, and CI/CD automation.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5A5A5A"/>
          <w:sz w:val="21"/>
        </w:rPr>
        <w:t>Prepared for discovery follow-up and implementation planning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60"/>
      </w:pPr>
      <w:r>
        <w:t>The recommended enterprise pattern is not a tool replacement exercise. It is an operating model change that clarifies what Azure DevOps owns, what HCP Terraform owns, and how environments should be represented going forward.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3024"/>
        <w:gridCol w:w="3024"/>
        <w:gridCol w:w="3024"/>
      </w:tblGrid>
      <w:tr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Keep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Change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Why it matters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Azure Repos / Azure DevOps as the source-control and pre-merge CI layer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Move from branch-per-environment toward workspace-per-environment with a protected main branch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Reduces environment drift and makes promotion consistent across ADO now and GitHub later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HCP Terraform as the state, plan/apply, and policy control plane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Replace local-only developer checks with mandatory PR gates and standardized policy enforcement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Shifts quality left, while keeping one authoritative Terraform execution path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Speculative plans and manual applies in HCP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Introduce a formal module governance and intake process for changes to shared modules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Prevents application-specific needs from distorting platform foundation modules</w:t>
            </w:r>
          </w:p>
        </w:tc>
      </w:tr>
    </w:tbl>
    <w:p/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Immediate quick wins: </w:t>
      </w:r>
      <w:r>
        <w:rPr>
          <w:rFonts w:ascii="Arial" w:hAnsi="Arial"/>
          <w:sz w:val="21"/>
        </w:rPr>
        <w:t>standardize the PR pipeline, enforce required tag and naming policies, document a trunk-based branching model, and stand up a proof of concept for workspace-to-environment mapping.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Target-state principle: </w:t>
      </w:r>
      <w:r>
        <w:rPr>
          <w:rFonts w:ascii="Arial" w:hAnsi="Arial"/>
          <w:sz w:val="21"/>
        </w:rPr>
        <w:t>environments should be represented through HCP workspaces, variables, and environment configuration paths—not through long-lived Git branches.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Control split: </w:t>
      </w:r>
      <w:r>
        <w:rPr>
          <w:rFonts w:ascii="Arial" w:hAnsi="Arial"/>
          <w:sz w:val="21"/>
        </w:rPr>
        <w:t>Azure DevOps becomes the quality gate; HCP Terraform remains the execution, state, and policy gate.</w:t>
      </w:r>
    </w:p>
    <w:p>
      <w:r>
        <w:br w:type="page"/>
      </w:r>
    </w:p>
    <w:p>
      <w:pPr>
        <w:pStyle w:val="Heading1"/>
      </w:pPr>
      <w:r>
        <w:t>1. Current-State Pain Points and Target-State Principles</w:t>
      </w:r>
    </w:p>
    <w:p>
      <w:r>
        <w:t>The client’s current model works, but it scales poorly because runtime environments are tightly coupled to Git branches, policy is mostly documentation rather than enforcement, and repo-level CI varies from team to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3312"/>
        <w:gridCol w:w="2592"/>
        <w:gridCol w:w="3456"/>
      </w:tblGrid>
      <w:tr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Current pattern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Risk created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Target principle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One branch maps to one environment workspace (NP0, NP1, NP2, NP3, Prod)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Long-lived branch divergence and hard promotion logic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One workspace = one environment = one lifecycle boundary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Tagging and naming are documented but not enforced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Inconsistent metadata, poor cost ownership, weak governance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Use layered enforcement in CI, HCP policy, and Azure Policy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Developers run fmt/validate locally before push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No consistent pre-merge gate and weak audit trail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Mandatory PR checks for fmt, validate, lint, and security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Small repo pipelines are copied manually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Pipeline drift and uneven controls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Use one blessed reusable pipeline template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Modules evolve ad hoc to meet application needs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Shared modules become harder to reuse and harder to govern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Create a lightweight module intake and design review process</w:t>
            </w:r>
          </w:p>
        </w:tc>
      </w:tr>
    </w:tbl>
    <w:p/>
    <w:p>
      <w:pPr>
        <w:pStyle w:val="Heading2"/>
      </w:pPr>
      <w:r>
        <w:t>Core design principles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One clear lifecycle per workspace. </w:t>
      </w:r>
      <w:r>
        <w:rPr>
          <w:rFonts w:ascii="Arial" w:hAnsi="Arial"/>
          <w:sz w:val="21"/>
        </w:rPr>
        <w:t>A single HCP workspace should own one root module and one environment boundary.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Same code, different environments. </w:t>
      </w:r>
      <w:r>
        <w:rPr>
          <w:rFonts w:ascii="Arial" w:hAnsi="Arial"/>
          <w:sz w:val="21"/>
        </w:rPr>
        <w:t>Promotion should happen by applying the same approved code to different workspaces, not by merging between environment branches.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Quality gates before state changes. </w:t>
      </w:r>
      <w:r>
        <w:rPr>
          <w:rFonts w:ascii="Arial" w:hAnsi="Arial"/>
          <w:sz w:val="21"/>
        </w:rPr>
        <w:t>Code quality and security checks should block merge before HCP sees the change.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Policy is layered, not singular. </w:t>
      </w:r>
      <w:r>
        <w:rPr>
          <w:rFonts w:ascii="Arial" w:hAnsi="Arial"/>
          <w:sz w:val="21"/>
        </w:rPr>
        <w:t>Terraform validation, policy-as-code, and Azure Policy should each handle part of the enforcement problem.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Shared modules need product management. </w:t>
      </w:r>
      <w:r>
        <w:rPr>
          <w:rFonts w:ascii="Arial" w:hAnsi="Arial"/>
          <w:sz w:val="21"/>
        </w:rPr>
        <w:t>Foundational modules should be treated as governed assets, not open-ended extension points.</w:t>
      </w:r>
    </w:p>
    <w:p>
      <w:r>
        <w:br w:type="page"/>
      </w:r>
    </w:p>
    <w:p>
      <w:pPr>
        <w:pStyle w:val="Heading1"/>
      </w:pPr>
      <w:r>
        <w:t>2. Proposed Enterprise Operating Model</w:t>
      </w:r>
    </w:p>
    <w:p>
      <w:r>
        <w:t>The proposed model keeps the current tools, but assigns cleaner responsibilities to each platform component.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2592"/>
        <w:gridCol w:w="3168"/>
        <w:gridCol w:w="3600"/>
      </w:tblGrid>
      <w:tr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Primary responsibility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Enterprise rule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Azure Repos / ADO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Source control, PR review, branch protection, CI pre-checks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No direct commits to main; all changes arrive through PRs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HCP Terraform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Speculative plans, authoritative plan/apply, state, policy enforcement, drift view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Only HCP should be the authoritative Terraform execution path for a workspace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Azure Policy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Runtime guardrails and remediation safety net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Platform policy remains in effect even if someone bypasses Terraform</w:t>
            </w:r>
          </w:p>
        </w:tc>
      </w:tr>
    </w:tbl>
    <w:p/>
    <w:p>
      <w:pPr>
        <w:pStyle w:val="Heading2"/>
      </w:pPr>
      <w:r>
        <w:t>Recommended flow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Engineer creates a short-lived feature branch and opens a pull request.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Azure DevOps runs mandatory PR checks and publishes results back to the PR.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HCP Terraform runs a speculative plan for the impacted workspace(s).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After merge to main, HCP Terraform runs the authoritative plan; approved workspaces are applied through controlled approvals.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The same code is applied through NP1, NP2, NP3, and Prod workspaces with environment-specific variables and approvals.</w:t>
      </w:r>
    </w:p>
    <w:p>
      <w:pPr>
        <w:pStyle w:val="Heading2"/>
      </w:pPr>
      <w:r>
        <w:t>Recommended workspace naming standard</w:t>
      </w:r>
    </w:p>
    <w:p>
      <w:pPr>
        <w:jc w:val="left"/>
      </w:pPr>
      <w:r>
        <w:rPr>
          <w:rFonts w:ascii="Arial" w:hAnsi="Arial"/>
          <w:b/>
          <w:color w:val="194A84"/>
          <w:sz w:val="22"/>
        </w:rPr>
        <w:t>&lt;application&gt;-&lt;environment&gt;-&lt;region&gt;-&lt;purpose&gt;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Examples: payments-np1-eastus-core, payments-np3-eastus-shared, payments-prod-eastus-core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NP0 remains a valid sandbox/POC exception with lighter policy and faster apply behavior.</w:t>
      </w:r>
    </w:p>
    <w:p>
      <w:pPr>
        <w:pStyle w:val="Heading2"/>
      </w:pPr>
      <w:r>
        <w:t>Workspace-to-environment POC</w:t>
      </w:r>
    </w:p>
    <w:p>
      <w:r>
        <w:t>As a non-disruptive quick win, the client can temporarily preserve the current branch-to-workspace pattern for existing environments while a new standard is piloted. The POC should prove that environment differences can be moved into workspace variables and environment-specific tfvars, allowing new workspaces to follow the target model without forcing a big-bang cutover.</w:t>
      </w:r>
    </w:p>
    <w:p>
      <w:r>
        <w:br w:type="page"/>
      </w:r>
    </w:p>
    <w:p>
      <w:pPr>
        <w:pStyle w:val="Heading1"/>
      </w:pPr>
      <w:r>
        <w:t>3. Branching and Promotion Strategy</w:t>
      </w:r>
    </w:p>
    <w:p>
      <w:r>
        <w:t>A trunk-based model is the strongest pattern for both infrastructure code and application code because it is portable across Azure DevOps and GitHub and does not rely on environment branches.</w:t>
      </w:r>
    </w:p>
    <w:p>
      <w:pPr>
        <w:pStyle w:val="Heading2"/>
      </w:pPr>
      <w:r>
        <w:t>Recommended branch model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main — always releasable and protected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feature/&lt;ticket&gt;-&lt;slug&gt; — standard change branch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fix/&lt;ticket&gt;-&lt;slug&gt; — defect remediation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hotfix/&lt;ticket&gt;-&lt;slug&gt; — urgent production fix path</w:t>
      </w:r>
    </w:p>
    <w:p>
      <w:pPr>
        <w:pStyle w:val="Heading2"/>
      </w:pPr>
      <w:r>
        <w:t>What not to keep long term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No dev, qa, uat, or prod branches as the target-state pattern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No direct commits to main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No environment promotion by branch merge or cherry-pick</w:t>
      </w:r>
    </w:p>
    <w:p>
      <w:pPr>
        <w:pStyle w:val="Heading2"/>
      </w:pPr>
      <w:r>
        <w:t>Promotion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1872"/>
        <w:gridCol w:w="2736"/>
        <w:gridCol w:w="2016"/>
        <w:gridCol w:w="2880"/>
      </w:tblGrid>
      <w:tr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Environment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Workspace example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Typical apply mode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Intent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NP0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payments-np0-eastus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Auto-apply or lightweight approval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Sandbox and proof-of-concept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NP1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payments-np1-eastus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Fast approval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Developer integration and early validation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NP2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payments-np2-eastus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Manual approval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Quality assurance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NP3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payments-np3-eastus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Manual approval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UAT / pre-production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Prod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payments-prod-eastus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Manual approval with change window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Controlled production rollout</w:t>
            </w:r>
          </w:p>
        </w:tc>
      </w:tr>
    </w:tbl>
    <w:p/>
    <w:p>
      <w:pPr>
        <w:pStyle w:val="Heading2"/>
      </w:pPr>
      <w:r>
        <w:t>Key promotion principle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B8D6B8"/>
          <w:left w:val="single" w:sz="10" w:space="0" w:color="B8D6B8"/>
          <w:bottom w:val="single" w:sz="10" w:space="0" w:color="B8D6B8"/>
          <w:right w:val="single" w:sz="10" w:space="0" w:color="B8D6B8"/>
          <w:insideH w:val="single" w:sz="10" w:space="0" w:color="B8D6B8"/>
          <w:insideV w:val="single" w:sz="10" w:space="0" w:color="B8D6B8"/>
        </w:tblBorders>
      </w:tblPr>
      <w:tblGrid>
        <w:gridCol w:w="9360"/>
      </w:tblGrid>
      <w:tr>
        <w:tc>
          <w:tcPr>
            <w:tcW w:type="dxa" w:w="9936"/>
            <w:shd w:fill="EAF4EA"/>
          </w:tcPr>
          <w:p>
            <w:r>
              <w:rPr>
                <w:rFonts w:ascii="Arial" w:hAnsi="Arial"/>
                <w:b/>
                <w:color w:val="2C602C"/>
                <w:sz w:val="21"/>
              </w:rPr>
              <w:t xml:space="preserve">Promotion should be logical, not Git-structural. </w:t>
            </w:r>
            <w:r>
              <w:rPr>
                <w:rFonts w:ascii="Arial" w:hAnsi="Arial"/>
                <w:sz w:val="21"/>
              </w:rPr>
              <w:t>The same approved code should move through workspaces and approvals; environments should not require separate long-lived branches.</w:t>
            </w:r>
          </w:p>
        </w:tc>
      </w:tr>
    </w:tbl>
    <w:p>
      <w:r>
        <w:br w:type="page"/>
      </w:r>
    </w:p>
    <w:p>
      <w:pPr>
        <w:pStyle w:val="Heading1"/>
      </w:pPr>
      <w:r>
        <w:t>4. Tagging, Naming, and Policy Enforcement</w:t>
      </w:r>
    </w:p>
    <w:p>
      <w:r>
        <w:t>The client’s biggest near-term governance opportunity is to move from documented standards to enforceable controls. The right pattern is layered enforcement rather than a single tool.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2016"/>
        <w:gridCol w:w="2160"/>
        <w:gridCol w:w="2448"/>
        <w:gridCol w:w="2736"/>
      </w:tblGrid>
      <w:tr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Layer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Where it runs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What it should enforce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Why it exists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Shift left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PR pipeline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fmt, validate, tflint, Checkov/tfsec, basic OPA/Conftest checks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Fast developer feedback before merge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Plan time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HCP Terraform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Required tags, naming regex, environment/workspace consistency, prohibited resource patterns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Authoritative gate before apply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Runtime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Azure Policy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Audit/Deny/Modify for missing tags, disallowed SKUs, regions, and public exposure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Catches drift and out-of-band changes</w:t>
            </w:r>
          </w:p>
        </w:tc>
      </w:tr>
    </w:tbl>
    <w:p/>
    <w:p>
      <w:pPr>
        <w:pStyle w:val="Heading2"/>
      </w:pPr>
      <w:r>
        <w:t>Recommended minimum required tags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environment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application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owner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cost_center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criticality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created_by = terraform</w:t>
      </w:r>
    </w:p>
    <w:p>
      <w:pPr>
        <w:pStyle w:val="Heading2"/>
      </w:pPr>
      <w:r>
        <w:t>Quick-win rollout pattern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Start with Azure Policy in audit-only mode so the client can see real non-compliance without blocking delivery.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Add Terraform and OPA/Conftest checks to all new PRs so new changes are cleaner than legacy inventory.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Promote selected policies to deny or mandatory run failures once the baseline is understood and exception handling exists.</w:t>
      </w:r>
    </w:p>
    <w:p>
      <w:r>
        <w:br w:type="page"/>
      </w:r>
    </w:p>
    <w:p>
      <w:pPr>
        <w:pStyle w:val="Heading1"/>
      </w:pPr>
      <w:r>
        <w:t>5. CI/CD Automation and Standardization</w:t>
      </w:r>
    </w:p>
    <w:p>
      <w:r>
        <w:t>The current model relies too heavily on local developer discipline and copy-pasted repo pipelines. The enterprise fix is a standard pipeline contract.</w:t>
      </w:r>
    </w:p>
    <w:p>
      <w:pPr>
        <w:pStyle w:val="Heading2"/>
      </w:pPr>
      <w:r>
        <w:t>Mandatory PR checks for every IaC repo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terraform fmt -check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terraform init -backend=false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terraform validate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tflint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Checkov or tfsec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policy-as-code checks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optional terraform test or example validation for shared modules</w:t>
      </w:r>
    </w:p>
    <w:p>
      <w:pPr>
        <w:pStyle w:val="Heading2"/>
      </w:pPr>
      <w:r>
        <w:t>Standard pipeline template pattern</w:t>
      </w:r>
    </w:p>
    <w:p>
      <w:pPr>
        <w:spacing w:after="120"/>
      </w:pPr>
      <w:r>
        <w:rPr>
          <w:rFonts w:ascii="Arial" w:hAnsi="Arial"/>
          <w:b/>
          <w:color w:val="194A84"/>
          <w:sz w:val="22"/>
        </w:rPr>
        <w:t>/pipelines/templates/terraform-pr-checks.yml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Every new repo should extend the same pipeline template rather than copying pipeline logic.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ORCA and any security scans should be integrated into the standard PR pipeline rather than existing as side pipelines with different behaviors.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Repo creation or seeding should automatically add the pipeline reference and required branch protections.</w:t>
      </w:r>
    </w:p>
    <w:p>
      <w:pPr>
        <w:pStyle w:val="Heading2"/>
      </w:pPr>
      <w:r>
        <w:t>Clean separation of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4464"/>
        <w:gridCol w:w="4752"/>
      </w:tblGrid>
      <w:tr>
        <w:tc>
          <w:tcPr>
            <w:tcW w:type="dxa" w:w="4968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Azure DevOps / GitHub CI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HCP Terraform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1"/>
              </w:rPr>
              <w:t>Code quality gate: repo hosting, PR checks, scans, branch protection, reviewer workflow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1"/>
              </w:rPr>
              <w:t>Terraform execution gate: state, speculative plans, policy enforcement, drift, authoritative plan/apply</w:t>
            </w:r>
          </w:p>
        </w:tc>
      </w:tr>
    </w:tbl>
    <w:p>
      <w:r>
        <w:br w:type="page"/>
      </w:r>
    </w:p>
    <w:p>
      <w:pPr>
        <w:pStyle w:val="Heading1"/>
      </w:pPr>
      <w:r>
        <w:t>6. Shared Module Governance</w:t>
      </w:r>
    </w:p>
    <w:p>
      <w:r>
        <w:t>The discovery notes indicate that some current shared modules are not a clean fit for application requirements, but there is no defined decision process today for what belongs in a platform module. That gap should be closed before module sprawl becomes a bigger problem.</w:t>
      </w:r>
    </w:p>
    <w:p>
      <w:pPr>
        <w:pStyle w:val="Heading2"/>
      </w:pPr>
      <w:r>
        <w:t>Recommended decision model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Foundation module: </w:t>
      </w:r>
      <w:r>
        <w:rPr>
          <w:rFonts w:ascii="Arial" w:hAnsi="Arial"/>
          <w:sz w:val="21"/>
        </w:rPr>
        <w:t>small, stable lifecycle boundary, many consumers, policy-aligned defaults.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Composition module: </w:t>
      </w:r>
      <w:r>
        <w:rPr>
          <w:rFonts w:ascii="Arial" w:hAnsi="Arial"/>
          <w:sz w:val="21"/>
        </w:rPr>
        <w:t>opinionated assembly of foundation modules for a common platform pattern.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b/>
          <w:sz w:val="21"/>
        </w:rPr>
        <w:t xml:space="preserve">Application root: </w:t>
      </w:r>
      <w:r>
        <w:rPr>
          <w:rFonts w:ascii="Arial" w:hAnsi="Arial"/>
          <w:sz w:val="21"/>
        </w:rPr>
        <w:t>application-specific logic that should not be pushed into shared modules.</w:t>
      </w:r>
    </w:p>
    <w:p>
      <w:pPr>
        <w:pStyle w:val="Heading2"/>
      </w:pPr>
      <w:r>
        <w:t>Module intake checklist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Is the requested feature needed by multiple teams or only one application?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Does the change alter the lifecycle boundary of the shared module?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Does the request introduce a policy or security exception?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Would a wrapper or composition module solve the problem without changing the foundation module?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Can the change be documented with an approved example and test case?</w:t>
      </w:r>
    </w:p>
    <w:p>
      <w:pPr>
        <w:pStyle w:val="Heading2"/>
      </w:pPr>
      <w:r>
        <w:t>Recommended operating rule</w:t>
      </w:r>
    </w:p>
    <w:p>
      <w:r>
        <w:t>No shared module should be expanded for a one-off app need without a lightweight review that confirms the change belongs in a platform asset.</w:t>
      </w:r>
    </w:p>
    <w:p>
      <w:r>
        <w:br w:type="page"/>
      </w:r>
    </w:p>
    <w:p>
      <w:pPr>
        <w:pStyle w:val="Heading1"/>
      </w:pPr>
      <w:r>
        <w:t>7. Phased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1440"/>
        <w:gridCol w:w="2304"/>
        <w:gridCol w:w="3024"/>
        <w:gridCol w:w="2736"/>
      </w:tblGrid>
      <w:tr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Window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Priority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Key deliverables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194A84"/>
                <w:sz w:val="21"/>
              </w:rPr>
              <w:t>Outcome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0–30 days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Quick wins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Standard PR pipeline; protected main; first tag policy checks; audit-only Azure Policy; workspace naming standard; workspace-to-environment POC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Visible control improvement with minimal disruption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30–60 days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Platform controls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HCP policy sets; reusable repo template; required reviewers/ownership model; module intake template; first migration off env branches for new repos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Consistent review and policy behavior across repos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60–90 days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Strategic shifts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Registry-based module release standard; broader policy set; training and runbooks; staged migration of legacy repos to branch-agnostic environment model</w:t>
            </w:r>
          </w:p>
        </w:tc>
        <w:tc>
          <w:tcPr>
            <w:tcW w:type="dxa" w:w="2736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20"/>
              </w:rPr>
              <w:t>Cleaner promotion, lower drift, and more repeatable foundations</w:t>
            </w:r>
          </w:p>
        </w:tc>
      </w:tr>
    </w:tbl>
    <w:p/>
    <w:p>
      <w:pPr>
        <w:pStyle w:val="Heading2"/>
      </w:pPr>
      <w:r>
        <w:t>Dependencies and assumptions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The client retains HCP Terraform as the state and execution authority.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ADO remains the active source-control platform in the near term, with a future GitHub option kept open.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Existing environment names NP0, NP1, NP2, NP3, and Prod can remain in the near term, but their meaning should be explicitly documented and standardized.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Policy rollout will require agreed ownership among platform, security, and cost-management stakeholders.</w:t>
      </w:r>
    </w:p>
    <w:p>
      <w:r>
        <w:br w:type="page"/>
      </w:r>
    </w:p>
    <w:p>
      <w:pPr>
        <w:pStyle w:val="Heading1"/>
      </w:pPr>
      <w:r>
        <w:t>8. Final Positioning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C5D9F1"/>
          <w:left w:val="single" w:sz="10" w:space="0" w:color="C5D9F1"/>
          <w:bottom w:val="single" w:sz="10" w:space="0" w:color="C5D9F1"/>
          <w:right w:val="single" w:sz="10" w:space="0" w:color="C5D9F1"/>
          <w:insideH w:val="single" w:sz="10" w:space="0" w:color="C5D9F1"/>
          <w:insideV w:val="single" w:sz="10" w:space="0" w:color="C5D9F1"/>
        </w:tblBorders>
      </w:tblPr>
      <w:tblGrid>
        <w:gridCol w:w="9360"/>
      </w:tblGrid>
      <w:tr>
        <w:tc>
          <w:tcPr>
            <w:tcW w:type="dxa" w:w="9936"/>
            <w:shd w:fill="D9EAF7"/>
          </w:tcPr>
          <w:p>
            <w:r>
              <w:rPr>
                <w:rFonts w:ascii="Arial" w:hAnsi="Arial"/>
                <w:b/>
                <w:color w:val="194A84"/>
                <w:sz w:val="22"/>
              </w:rPr>
              <w:t xml:space="preserve">Client-safe summary. </w:t>
            </w:r>
            <w:r>
              <w:rPr>
                <w:rFonts w:ascii="Arial" w:hAnsi="Arial"/>
                <w:sz w:val="22"/>
              </w:rPr>
              <w:t>We are not proposing a tool change first. We are clarifying responsibilities. Azure DevOps becomes the quality gate, HCP Terraform remains the execution and state authority, and policy-as-code turns standards from documentation into enforceable controls.</w:t>
            </w:r>
          </w:p>
        </w:tc>
      </w:tr>
    </w:tbl>
    <w:p/>
    <w:p>
      <w:pPr>
        <w:pStyle w:val="Heading2"/>
      </w:pPr>
      <w:r>
        <w:t>Recommended next actions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Approve the target operating model and branch strategy.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Stand up the standard PR pipeline template and branch protections.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Implement the workspace-to-environment POC and formal workspace naming standard.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Deliver the first mandatory tag and naming policies in CI and HCP.</w:t>
      </w:r>
    </w:p>
    <w:p>
      <w:pPr>
        <w:ind w:left="288" w:hanging="216"/>
      </w:pPr>
      <w:r>
        <w:rPr>
          <w:rFonts w:ascii="Arial" w:hAnsi="Arial"/>
          <w:color w:val="194A84"/>
          <w:sz w:val="21"/>
        </w:rPr>
        <w:t xml:space="preserve">• </w:t>
      </w:r>
      <w:r>
        <w:rPr>
          <w:rFonts w:ascii="Arial" w:hAnsi="Arial"/>
          <w:sz w:val="21"/>
        </w:rPr>
        <w:t>Create the module intake workflow before broadening shared modules further.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6464"/>
        <w:sz w:val="16"/>
      </w:rPr>
      <w:t>Proposed Enterprise IaC Operating Plan</w:t>
    </w:r>
    <w:r>
      <w:rPr>
        <w:rFonts w:ascii="Arial" w:hAnsi="Arial"/>
        <w:color w:val="646464"/>
        <w:sz w:val="16"/>
      </w:rPr>
      <w:t xml:space="preserve">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4A8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4A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4A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4A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0505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