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B63"/>
          <w:sz w:val="48"/>
        </w:rPr>
        <w:t>Proposed Enterprise IaC Operating Plan</w:t>
      </w:r>
    </w:p>
    <w:p>
      <w:pPr>
        <w:jc w:val="center"/>
      </w:pPr>
      <w:r>
        <w:rPr>
          <w:color w:val="355F8C"/>
          <w:sz w:val="30"/>
        </w:rPr>
        <w:t>Azure DevOps + HCP Terraform</w:t>
      </w:r>
    </w:p>
    <w:p>
      <w:pPr>
        <w:jc w:val="center"/>
      </w:pPr>
      <w:r>
        <w:rPr>
          <w:i/>
          <w:color w:val="4A4A4A"/>
          <w:sz w:val="21"/>
        </w:rPr>
        <w:t>Updated with detailed branching strategy, HCP workspace mapping, production gating, and POC design</w:t>
      </w:r>
    </w:p>
    <w:p/>
    <w:tbl>
      <w:tblPr>
        <w:tblStyle w:val="TableGrid"/>
        <w:tblW w:type="auto" w:w="0"/>
        <w:jc w:val="center"/>
        <w:tblLook w:firstColumn="1" w:firstRow="1" w:lastColumn="0" w:lastRow="0" w:noHBand="0" w:noVBand="1" w:val="04A0"/>
      </w:tblPr>
      <w:tblGrid>
        <w:gridCol w:w="4896"/>
        <w:gridCol w:w="4896"/>
      </w:tblGrid>
      <w:tr>
        <w:tc>
          <w:tcPr>
            <w:tcW w:type="dxa" w:w="4896"/>
            <w:shd w:fill="1F4E78"/>
            <w:vAlign w:val="center"/>
            <w:tcMar>
              <w:top w:w="80" w:type="dxa"/>
              <w:start w:w="90" w:type="dxa"/>
              <w:bottom w:w="80" w:type="dxa"/>
              <w:end w:w="90" w:type="dxa"/>
            </w:tcMar>
          </w:tcPr>
          <w:p>
            <w:pPr>
              <w:jc w:val="center"/>
            </w:pPr>
            <w:r>
              <w:rPr>
                <w:b/>
                <w:color w:val="FFFFFF"/>
                <w:sz w:val="20"/>
              </w:rPr>
              <w:t>Prepared for</w:t>
            </w:r>
          </w:p>
        </w:tc>
        <w:tc>
          <w:tcPr>
            <w:tcW w:type="dxa" w:w="4896"/>
            <w:shd w:fill="1F4E78"/>
            <w:vAlign w:val="center"/>
            <w:tcMar>
              <w:top w:w="80" w:type="dxa"/>
              <w:start w:w="90" w:type="dxa"/>
              <w:bottom w:w="80" w:type="dxa"/>
              <w:end w:w="90" w:type="dxa"/>
            </w:tcMar>
          </w:tcPr>
          <w:p>
            <w:pPr>
              <w:jc w:val="center"/>
            </w:pPr>
            <w:r>
              <w:rPr>
                <w:b/>
                <w:color w:val="FFFFFF"/>
                <w:sz w:val="20"/>
              </w:rPr>
              <w:t>Discovery follow-up, operating model design, and implementation planning</w:t>
            </w:r>
          </w:p>
        </w:tc>
      </w:tr>
      <w:tr>
        <w:tc>
          <w:tcPr>
            <w:tcW w:type="dxa" w:w="4896"/>
            <w:vAlign w:val="center"/>
            <w:tcMar>
              <w:top w:w="80" w:type="dxa"/>
              <w:start w:w="90" w:type="dxa"/>
              <w:bottom w:w="80" w:type="dxa"/>
              <w:end w:w="90" w:type="dxa"/>
            </w:tcMar>
          </w:tcPr>
          <w:p>
            <w:r>
              <w:rPr>
                <w:b/>
                <w:sz w:val="20"/>
              </w:rPr>
              <w:t>Primary objective</w:t>
            </w:r>
          </w:p>
        </w:tc>
        <w:tc>
          <w:tcPr>
            <w:tcW w:type="dxa" w:w="4896"/>
            <w:vAlign w:val="center"/>
            <w:tcMar>
              <w:top w:w="80" w:type="dxa"/>
              <w:start w:w="90" w:type="dxa"/>
              <w:bottom w:w="80" w:type="dxa"/>
              <w:end w:w="90" w:type="dxa"/>
            </w:tcMar>
          </w:tcPr>
          <w:p>
            <w:r>
              <w:rPr>
                <w:sz w:val="20"/>
              </w:rPr>
              <w:t>Define an enterprise-safe branching, workspace, CI/CD, and policy model that works now in Azure DevOps and remains portable to GitHub later</w:t>
            </w:r>
          </w:p>
        </w:tc>
      </w:tr>
      <w:tr>
        <w:tc>
          <w:tcPr>
            <w:tcW w:type="dxa" w:w="4896"/>
            <w:shd w:fill="F5F8FC"/>
            <w:vAlign w:val="center"/>
            <w:tcMar>
              <w:top w:w="80" w:type="dxa"/>
              <w:start w:w="90" w:type="dxa"/>
              <w:bottom w:w="80" w:type="dxa"/>
              <w:end w:w="90" w:type="dxa"/>
            </w:tcMar>
          </w:tcPr>
          <w:p>
            <w:r>
              <w:rPr>
                <w:b/>
                <w:sz w:val="20"/>
              </w:rPr>
              <w:t>Core position</w:t>
            </w:r>
          </w:p>
        </w:tc>
        <w:tc>
          <w:tcPr>
            <w:tcW w:type="dxa" w:w="4896"/>
            <w:shd w:fill="F5F8FC"/>
            <w:vAlign w:val="center"/>
            <w:tcMar>
              <w:top w:w="80" w:type="dxa"/>
              <w:start w:w="90" w:type="dxa"/>
              <w:bottom w:w="80" w:type="dxa"/>
              <w:end w:w="90" w:type="dxa"/>
            </w:tcMar>
          </w:tcPr>
          <w:p>
            <w:r>
              <w:rPr>
                <w:sz w:val="20"/>
              </w:rPr>
              <w:t>Use Azure DevOps as the source-control and pre-merge quality gate; use HCP Terraform as the Terraform execution, state, policy, and drift control plane</w:t>
            </w:r>
          </w:p>
        </w:tc>
      </w:tr>
      <w:tr>
        <w:tc>
          <w:tcPr>
            <w:tcW w:type="dxa" w:w="4896"/>
            <w:vAlign w:val="center"/>
            <w:tcMar>
              <w:top w:w="80" w:type="dxa"/>
              <w:start w:w="90" w:type="dxa"/>
              <w:bottom w:w="80" w:type="dxa"/>
              <w:end w:w="90" w:type="dxa"/>
            </w:tcMar>
          </w:tcPr>
          <w:p>
            <w:r>
              <w:rPr>
                <w:b/>
                <w:sz w:val="20"/>
              </w:rPr>
              <w:t>Most important recommendation</w:t>
            </w:r>
          </w:p>
        </w:tc>
        <w:tc>
          <w:tcPr>
            <w:tcW w:type="dxa" w:w="4896"/>
            <w:vAlign w:val="center"/>
            <w:tcMar>
              <w:top w:w="80" w:type="dxa"/>
              <w:start w:w="90" w:type="dxa"/>
              <w:bottom w:w="80" w:type="dxa"/>
              <w:end w:w="90" w:type="dxa"/>
            </w:tcMar>
          </w:tcPr>
          <w:p>
            <w:r>
              <w:rPr>
                <w:sz w:val="20"/>
              </w:rPr>
              <w:t>Do not make the long-term target 'workspace = branch = environment'. Use one protected deployable branch, one workspace per environment, and explicit environment roots / version-based promotion</w:t>
            </w:r>
          </w:p>
        </w:tc>
      </w:tr>
    </w:tbl>
    <w:p/>
    <w:p>
      <w:pPr>
        <w:pStyle w:val="Heading1"/>
      </w:pPr>
      <w:r>
        <w:t>1. Executive summary</w:t>
      </w:r>
    </w:p>
    <w:p>
      <w:r>
        <w:t>The client already has the foundational toolset: Azure DevOps for source control, HCP Terraform for speculative plans, state, and execution, and several security and governance tools. The missing pieces are standardization, enforcement, and a cleaner operating model.</w:t>
      </w:r>
    </w:p>
    <w:p>
      <w:r>
        <w:t>The immediate client concern is valid: when workspaces are directly mapped to long-lived branches, ordinary merges can affect environments that were not meant to move. This is most visible in production, where the client wants promotion to remain deliberate and gated.</w:t>
      </w:r>
    </w:p>
    <w:p>
      <w:r>
        <w:t>The client’s proposed develop/main split is a reasonable interim containment pattern, but it is not the best long-term enterprise target. It reduces immediate risk, yet it still ties runtime environments to long-lived branches and creates future branch-drift and synchronization overhead.</w:t>
      </w:r>
    </w:p>
    <w:p>
      <w:r>
        <w:t>The recommended long-term model is: one deployable main branch, short-lived feature/fix/hotfix branches, one HCP workspace per environment, one root working directory per environment, versioned reusable modules, strong PR gates in Azure DevOps, and manual or tightly controlled apply permissions in HCP Terraform.</w:t>
      </w:r>
    </w:p>
    <w:p>
      <w:pPr>
        <w:pStyle w:val="Heading1"/>
      </w:pPr>
      <w:r>
        <w:t>2. Discovery-based current-state summary</w:t>
      </w:r>
    </w:p>
    <w:p>
      <w:pPr>
        <w:pStyle w:val="ListBullet"/>
      </w:pPr>
      <w:r>
        <w:t>Azure DevOps repositories are the system of record for infrastructure code.</w:t>
      </w:r>
    </w:p>
    <w:p>
      <w:pPr>
        <w:pStyle w:val="ListBullet"/>
      </w:pPr>
      <w:r>
        <w:t>HCP Terraform workspaces are directly connected to Azure DevOps repositories for speculative plans and authoritative runs.</w:t>
      </w:r>
    </w:p>
    <w:p>
      <w:pPr>
        <w:pStyle w:val="ListBullet"/>
      </w:pPr>
      <w:r>
        <w:t>Pull requests already trigger speculative plans in HCP Terraform; apply remains manual.</w:t>
      </w:r>
    </w:p>
    <w:p>
      <w:pPr>
        <w:pStyle w:val="ListBullet"/>
      </w:pPr>
      <w:r>
        <w:t>There is no standardized, enforced pre-merge IaC quality gate today for terraform fmt, terraform validate, linting, or security scanning.</w:t>
      </w:r>
    </w:p>
    <w:p>
      <w:pPr>
        <w:pStyle w:val="ListBullet"/>
      </w:pPr>
      <w:r>
        <w:t>Workspace-to-branch mapping is common, and branching is not standardized across repositories.</w:t>
      </w:r>
    </w:p>
    <w:p>
      <w:pPr>
        <w:pStyle w:val="ListBullet"/>
      </w:pPr>
      <w:r>
        <w:t>Security and governance expectations are documented, but automation and enforcement remain limited and inconsistent.</w:t>
      </w:r>
    </w:p>
    <w:p>
      <w:pPr>
        <w:pStyle w:val="ListBullet"/>
      </w:pPr>
      <w:r>
        <w:t>Drift is being introduced by portal changes, Azure Policy side effects, application pipelines mutating Terraform-owned settings, old modules, and configuration defects.</w:t>
      </w:r>
    </w:p>
    <w:p>
      <w:pPr>
        <w:pStyle w:val="Heading1"/>
      </w:pPr>
      <w:r>
        <w:t>3. Why the current client pattern is not the best long-term design</w:t>
      </w:r>
    </w:p>
    <w:p>
      <w:r>
        <w:t>The current pattern, or the pattern the client is actively testing, can be summarized as follows:</w:t>
      </w:r>
    </w:p>
    <w:p>
      <w:pPr>
        <w:pStyle w:val="ListBullet"/>
      </w:pPr>
      <w:r>
        <w:t>A workspace is commonly tied to one branch.</w:t>
      </w:r>
    </w:p>
    <w:p>
      <w:pPr>
        <w:pStyle w:val="ListBullet"/>
      </w:pPr>
      <w:r>
        <w:t>Main often represents production, while other branches such as develop represent non-production.</w:t>
      </w:r>
    </w:p>
    <w:p>
      <w:pPr>
        <w:pStyle w:val="ListBullet"/>
      </w:pPr>
      <w:r>
        <w:t>Promotion becomes a Git branch merge rather than an explicit release promotion event.</w:t>
      </w:r>
    </w:p>
    <w:p>
      <w:r>
        <w:t>That model is understandable, but it creates long-term issues:</w:t>
      </w:r>
    </w:p>
    <w:p>
      <w:pPr>
        <w:pStyle w:val="ListBullet"/>
      </w:pPr>
      <w:r>
        <w:t>It makes Git structure represent runtime state. Branches begin to act as environments instead of as change lifecycles.</w:t>
      </w:r>
    </w:p>
    <w:p>
      <w:pPr>
        <w:pStyle w:val="ListBullet"/>
      </w:pPr>
      <w:r>
        <w:t>It creates merge debt and synchronization overhead. Any develop/main split must be actively kept in sync, especially after production hotfixes.</w:t>
      </w:r>
    </w:p>
    <w:p>
      <w:pPr>
        <w:pStyle w:val="ListBullet"/>
      </w:pPr>
      <w:r>
        <w:t>It makes promotion less explicit. Branch merges become the release mechanism instead of a deliberate environment advancement decision.</w:t>
      </w:r>
    </w:p>
    <w:p>
      <w:pPr>
        <w:pStyle w:val="ListBullet"/>
      </w:pPr>
      <w:r>
        <w:t>It becomes harder to reason about what production is truly running, because the distinction between code branch, environment, and workspace state blurs.</w:t>
      </w:r>
    </w:p>
    <w:p>
      <w:pPr>
        <w:pStyle w:val="ListBullet"/>
      </w:pPr>
      <w:r>
        <w:t>It is less portable. The client wants a model that works in Azure DevOps now and in GitHub later; long-lived environment branches are not the strongest portable pattern.</w:t>
      </w:r>
    </w:p>
    <w:p>
      <w:pPr>
        <w:pStyle w:val="Heading1"/>
      </w:pPr>
      <w:r>
        <w:t>4. Branching and workspace options compared</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1F4E78"/>
            <w:vAlign w:val="center"/>
            <w:tcMar>
              <w:top w:w="80" w:type="dxa"/>
              <w:start w:w="90" w:type="dxa"/>
              <w:bottom w:w="80" w:type="dxa"/>
              <w:end w:w="90" w:type="dxa"/>
            </w:tcMar>
          </w:tcPr>
          <w:p>
            <w:pPr>
              <w:jc w:val="center"/>
            </w:pPr>
            <w:r>
              <w:rPr>
                <w:b/>
                <w:color w:val="FFFFFF"/>
                <w:sz w:val="20"/>
              </w:rPr>
              <w:t>Option</w:t>
            </w:r>
          </w:p>
        </w:tc>
        <w:tc>
          <w:tcPr>
            <w:tcW w:type="dxa" w:w="1958"/>
            <w:shd w:fill="1F4E78"/>
            <w:vAlign w:val="center"/>
            <w:tcMar>
              <w:top w:w="80" w:type="dxa"/>
              <w:start w:w="90" w:type="dxa"/>
              <w:bottom w:w="80" w:type="dxa"/>
              <w:end w:w="90" w:type="dxa"/>
            </w:tcMar>
          </w:tcPr>
          <w:p>
            <w:pPr>
              <w:jc w:val="center"/>
            </w:pPr>
            <w:r>
              <w:rPr>
                <w:b/>
                <w:color w:val="FFFFFF"/>
                <w:sz w:val="20"/>
              </w:rPr>
              <w:t>How it works</w:t>
            </w:r>
          </w:p>
        </w:tc>
        <w:tc>
          <w:tcPr>
            <w:tcW w:type="dxa" w:w="1958"/>
            <w:shd w:fill="1F4E78"/>
            <w:vAlign w:val="center"/>
            <w:tcMar>
              <w:top w:w="80" w:type="dxa"/>
              <w:start w:w="90" w:type="dxa"/>
              <w:bottom w:w="80" w:type="dxa"/>
              <w:end w:w="90" w:type="dxa"/>
            </w:tcMar>
          </w:tcPr>
          <w:p>
            <w:pPr>
              <w:jc w:val="center"/>
            </w:pPr>
            <w:r>
              <w:rPr>
                <w:b/>
                <w:color w:val="FFFFFF"/>
                <w:sz w:val="20"/>
              </w:rPr>
              <w:t>Strengths</w:t>
            </w:r>
          </w:p>
        </w:tc>
        <w:tc>
          <w:tcPr>
            <w:tcW w:type="dxa" w:w="1958"/>
            <w:shd w:fill="1F4E78"/>
            <w:vAlign w:val="center"/>
            <w:tcMar>
              <w:top w:w="80" w:type="dxa"/>
              <w:start w:w="90" w:type="dxa"/>
              <w:bottom w:w="80" w:type="dxa"/>
              <w:end w:w="90" w:type="dxa"/>
            </w:tcMar>
          </w:tcPr>
          <w:p>
            <w:pPr>
              <w:jc w:val="center"/>
            </w:pPr>
            <w:r>
              <w:rPr>
                <w:b/>
                <w:color w:val="FFFFFF"/>
                <w:sz w:val="20"/>
              </w:rPr>
              <w:t>Weaknesses</w:t>
            </w:r>
          </w:p>
        </w:tc>
        <w:tc>
          <w:tcPr>
            <w:tcW w:type="dxa" w:w="1958"/>
            <w:shd w:fill="1F4E78"/>
            <w:vAlign w:val="center"/>
            <w:tcMar>
              <w:top w:w="80" w:type="dxa"/>
              <w:start w:w="90" w:type="dxa"/>
              <w:bottom w:w="80" w:type="dxa"/>
              <w:end w:w="90" w:type="dxa"/>
            </w:tcMar>
          </w:tcPr>
          <w:p>
            <w:pPr>
              <w:jc w:val="center"/>
            </w:pPr>
            <w:r>
              <w:rPr>
                <w:b/>
                <w:color w:val="FFFFFF"/>
                <w:sz w:val="20"/>
              </w:rPr>
              <w:t>Recommendation</w:t>
            </w:r>
          </w:p>
        </w:tc>
      </w:tr>
      <w:tr>
        <w:tc>
          <w:tcPr>
            <w:tcW w:type="dxa" w:w="1958"/>
            <w:vAlign w:val="center"/>
            <w:tcMar>
              <w:top w:w="80" w:type="dxa"/>
              <w:start w:w="90" w:type="dxa"/>
              <w:bottom w:w="80" w:type="dxa"/>
              <w:end w:w="90" w:type="dxa"/>
            </w:tcMar>
          </w:tcPr>
          <w:p>
            <w:r>
              <w:rPr>
                <w:sz w:val="20"/>
              </w:rPr>
              <w:t>Current broad main-based model</w:t>
            </w:r>
          </w:p>
        </w:tc>
        <w:tc>
          <w:tcPr>
            <w:tcW w:type="dxa" w:w="1958"/>
            <w:vAlign w:val="center"/>
            <w:tcMar>
              <w:top w:w="80" w:type="dxa"/>
              <w:start w:w="90" w:type="dxa"/>
              <w:bottom w:w="80" w:type="dxa"/>
              <w:end w:w="90" w:type="dxa"/>
            </w:tcMar>
          </w:tcPr>
          <w:p>
            <w:r>
              <w:rPr>
                <w:sz w:val="20"/>
              </w:rPr>
              <w:t>Most or all environments ultimately consume main; HCP workspaces are commonly tied to the same branch with limited pre-merge controls.</w:t>
            </w:r>
          </w:p>
        </w:tc>
        <w:tc>
          <w:tcPr>
            <w:tcW w:type="dxa" w:w="1958"/>
            <w:vAlign w:val="center"/>
            <w:tcMar>
              <w:top w:w="80" w:type="dxa"/>
              <w:start w:w="90" w:type="dxa"/>
              <w:bottom w:w="80" w:type="dxa"/>
              <w:end w:w="90" w:type="dxa"/>
            </w:tcMar>
          </w:tcPr>
          <w:p>
            <w:r>
              <w:rPr>
                <w:sz w:val="20"/>
              </w:rPr>
              <w:t>Simple to understand and low process overhead.</w:t>
            </w:r>
          </w:p>
        </w:tc>
        <w:tc>
          <w:tcPr>
            <w:tcW w:type="dxa" w:w="1958"/>
            <w:vAlign w:val="center"/>
            <w:tcMar>
              <w:top w:w="80" w:type="dxa"/>
              <w:start w:w="90" w:type="dxa"/>
              <w:bottom w:w="80" w:type="dxa"/>
              <w:end w:w="90" w:type="dxa"/>
            </w:tcMar>
          </w:tcPr>
          <w:p>
            <w:r>
              <w:rPr>
                <w:sz w:val="20"/>
              </w:rPr>
              <w:t>Non-prod merges can create unwanted production runs or production planning noise; weak pre-merge discipline; little release separation.</w:t>
            </w:r>
          </w:p>
        </w:tc>
        <w:tc>
          <w:tcPr>
            <w:tcW w:type="dxa" w:w="1958"/>
            <w:vAlign w:val="center"/>
            <w:tcMar>
              <w:top w:w="80" w:type="dxa"/>
              <w:start w:w="90" w:type="dxa"/>
              <w:bottom w:w="80" w:type="dxa"/>
              <w:end w:w="90" w:type="dxa"/>
            </w:tcMar>
          </w:tcPr>
          <w:p>
            <w:r>
              <w:rPr>
                <w:sz w:val="20"/>
              </w:rPr>
              <w:t>Do not keep as the final model.</w:t>
            </w:r>
          </w:p>
        </w:tc>
      </w:tr>
      <w:tr>
        <w:tc>
          <w:tcPr>
            <w:tcW w:type="dxa" w:w="1958"/>
            <w:shd w:fill="F5F8FC"/>
            <w:vAlign w:val="center"/>
            <w:tcMar>
              <w:top w:w="80" w:type="dxa"/>
              <w:start w:w="90" w:type="dxa"/>
              <w:bottom w:w="80" w:type="dxa"/>
              <w:end w:w="90" w:type="dxa"/>
            </w:tcMar>
          </w:tcPr>
          <w:p>
            <w:r>
              <w:rPr>
                <w:sz w:val="20"/>
              </w:rPr>
              <w:t>Client interim model: develop for non-prod, main for prod</w:t>
            </w:r>
          </w:p>
        </w:tc>
        <w:tc>
          <w:tcPr>
            <w:tcW w:type="dxa" w:w="1958"/>
            <w:shd w:fill="F5F8FC"/>
            <w:vAlign w:val="center"/>
            <w:tcMar>
              <w:top w:w="80" w:type="dxa"/>
              <w:start w:w="90" w:type="dxa"/>
              <w:bottom w:w="80" w:type="dxa"/>
              <w:end w:w="90" w:type="dxa"/>
            </w:tcMar>
          </w:tcPr>
          <w:p>
            <w:r>
              <w:rPr>
                <w:sz w:val="20"/>
              </w:rPr>
              <w:t>Feature branches merge to develop; non-prod workspaces point to develop; prod points to main; promotion to prod happens by PR from develop to main.</w:t>
            </w:r>
          </w:p>
        </w:tc>
        <w:tc>
          <w:tcPr>
            <w:tcW w:type="dxa" w:w="1958"/>
            <w:shd w:fill="F5F8FC"/>
            <w:vAlign w:val="center"/>
            <w:tcMar>
              <w:top w:w="80" w:type="dxa"/>
              <w:start w:w="90" w:type="dxa"/>
              <w:bottom w:w="80" w:type="dxa"/>
              <w:end w:w="90" w:type="dxa"/>
            </w:tcMar>
          </w:tcPr>
          <w:p>
            <w:r>
              <w:rPr>
                <w:sz w:val="20"/>
              </w:rPr>
              <w:t>Quick containment; easier immediate separation between non-prod and prod; aligns with current mental model.</w:t>
            </w:r>
          </w:p>
        </w:tc>
        <w:tc>
          <w:tcPr>
            <w:tcW w:type="dxa" w:w="1958"/>
            <w:shd w:fill="F5F8FC"/>
            <w:vAlign w:val="center"/>
            <w:tcMar>
              <w:top w:w="80" w:type="dxa"/>
              <w:start w:w="90" w:type="dxa"/>
              <w:bottom w:w="80" w:type="dxa"/>
              <w:end w:w="90" w:type="dxa"/>
            </w:tcMar>
          </w:tcPr>
          <w:p>
            <w:r>
              <w:rPr>
                <w:sz w:val="20"/>
              </w:rPr>
              <w:t>Still relies on long-lived environment-family branches; creates develop/main sync debt; NP1/NP2/NP3 still move together unless the repo is further segmented.</w:t>
            </w:r>
          </w:p>
        </w:tc>
        <w:tc>
          <w:tcPr>
            <w:tcW w:type="dxa" w:w="1958"/>
            <w:shd w:fill="F5F8FC"/>
            <w:vAlign w:val="center"/>
            <w:tcMar>
              <w:top w:w="80" w:type="dxa"/>
              <w:start w:w="90" w:type="dxa"/>
              <w:bottom w:w="80" w:type="dxa"/>
              <w:end w:w="90" w:type="dxa"/>
            </w:tcMar>
          </w:tcPr>
          <w:p>
            <w:r>
              <w:rPr>
                <w:sz w:val="20"/>
              </w:rPr>
              <w:t>Useful as a short-term stabilization step only.</w:t>
            </w:r>
          </w:p>
        </w:tc>
      </w:tr>
      <w:tr>
        <w:tc>
          <w:tcPr>
            <w:tcW w:type="dxa" w:w="1958"/>
            <w:vAlign w:val="center"/>
            <w:tcMar>
              <w:top w:w="80" w:type="dxa"/>
              <w:start w:w="90" w:type="dxa"/>
              <w:bottom w:w="80" w:type="dxa"/>
              <w:end w:w="90" w:type="dxa"/>
            </w:tcMar>
          </w:tcPr>
          <w:p>
            <w:r>
              <w:rPr>
                <w:sz w:val="20"/>
              </w:rPr>
              <w:t>Recommended target model</w:t>
            </w:r>
          </w:p>
        </w:tc>
        <w:tc>
          <w:tcPr>
            <w:tcW w:type="dxa" w:w="1958"/>
            <w:vAlign w:val="center"/>
            <w:tcMar>
              <w:top w:w="80" w:type="dxa"/>
              <w:start w:w="90" w:type="dxa"/>
              <w:bottom w:w="80" w:type="dxa"/>
              <w:end w:w="90" w:type="dxa"/>
            </w:tcMar>
          </w:tcPr>
          <w:p>
            <w:r>
              <w:rPr>
                <w:sz w:val="20"/>
              </w:rPr>
              <w:t>Feature/fix/hotfix branches merge to protected main; multiple HCP workspaces point to the same repo and same main branch, but each workspace has its own working directory, variables, approvals, and state.</w:t>
            </w:r>
          </w:p>
        </w:tc>
        <w:tc>
          <w:tcPr>
            <w:tcW w:type="dxa" w:w="1958"/>
            <w:vAlign w:val="center"/>
            <w:tcMar>
              <w:top w:w="80" w:type="dxa"/>
              <w:start w:w="90" w:type="dxa"/>
              <w:bottom w:w="80" w:type="dxa"/>
              <w:end w:w="90" w:type="dxa"/>
            </w:tcMar>
          </w:tcPr>
          <w:p>
            <w:r>
              <w:rPr>
                <w:sz w:val="20"/>
              </w:rPr>
              <w:t>Cleanest enterprise model; explicit promotion; less branch drift; portable to GitHub; aligns branch lifecycle with change lifecycle and workspace lifecycle with environment lifecycle.</w:t>
            </w:r>
          </w:p>
        </w:tc>
        <w:tc>
          <w:tcPr>
            <w:tcW w:type="dxa" w:w="1958"/>
            <w:vAlign w:val="center"/>
            <w:tcMar>
              <w:top w:w="80" w:type="dxa"/>
              <w:start w:w="90" w:type="dxa"/>
              <w:bottom w:w="80" w:type="dxa"/>
              <w:end w:w="90" w:type="dxa"/>
            </w:tcMar>
          </w:tcPr>
          <w:p>
            <w:r>
              <w:rPr>
                <w:sz w:val="20"/>
              </w:rPr>
              <w:t>Requires some redesign: environment roots, registry module versioning, and consistent workspace conventions.</w:t>
            </w:r>
          </w:p>
        </w:tc>
        <w:tc>
          <w:tcPr>
            <w:tcW w:type="dxa" w:w="1958"/>
            <w:vAlign w:val="center"/>
            <w:tcMar>
              <w:top w:w="80" w:type="dxa"/>
              <w:start w:w="90" w:type="dxa"/>
              <w:bottom w:w="80" w:type="dxa"/>
              <w:end w:w="90" w:type="dxa"/>
            </w:tcMar>
          </w:tcPr>
          <w:p>
            <w:r>
              <w:rPr>
                <w:sz w:val="20"/>
              </w:rPr>
              <w:t>Recommended end state.</w:t>
            </w:r>
          </w:p>
        </w:tc>
      </w:tr>
    </w:tbl>
    <w:p/>
    <w:p>
      <w:pPr>
        <w:pStyle w:val="Heading1"/>
      </w:pPr>
      <w:r>
        <w:t>5. Detailed recommended branching strategy</w:t>
      </w:r>
    </w:p>
    <w:p>
      <w:r>
        <w:t>Target branch model</w:t>
      </w:r>
    </w:p>
    <w:p>
      <w:pPr>
        <w:pStyle w:val="ListBullet"/>
      </w:pPr>
      <w:r>
        <w:t>main — protected, always releasable, and the long-term source for all deployable infrastructure code</w:t>
      </w:r>
    </w:p>
    <w:p>
      <w:pPr>
        <w:pStyle w:val="ListBullet"/>
      </w:pPr>
      <w:r>
        <w:t>feature/&lt;ticket&gt;-&lt;slug&gt; — normal delivery branch</w:t>
      </w:r>
    </w:p>
    <w:p>
      <w:pPr>
        <w:pStyle w:val="ListBullet"/>
      </w:pPr>
      <w:r>
        <w:t>fix/&lt;ticket&gt;-&lt;slug&gt; — defect remediation</w:t>
      </w:r>
    </w:p>
    <w:p>
      <w:pPr>
        <w:pStyle w:val="ListBullet"/>
      </w:pPr>
      <w:r>
        <w:t>hotfix/&lt;ticket&gt;-&lt;slug&gt; — emergency production fix path</w:t>
      </w:r>
    </w:p>
    <w:p>
      <w:r>
        <w:t>Rules</w:t>
      </w:r>
    </w:p>
    <w:p>
      <w:pPr>
        <w:pStyle w:val="ListBullet"/>
      </w:pPr>
      <w:r>
        <w:t>No long-lived environment branches such as np1, np2, np3, or prod in the long-term target pattern.</w:t>
      </w:r>
    </w:p>
    <w:p>
      <w:pPr>
        <w:pStyle w:val="ListBullet"/>
      </w:pPr>
      <w:r>
        <w:t>No direct commits to main.</w:t>
      </w:r>
    </w:p>
    <w:p>
      <w:pPr>
        <w:pStyle w:val="ListBullet"/>
      </w:pPr>
      <w:r>
        <w:t>All changes enter through pull requests with required checks and reviewers.</w:t>
      </w:r>
    </w:p>
    <w:p>
      <w:pPr>
        <w:pStyle w:val="ListBullet"/>
      </w:pPr>
      <w:r>
        <w:t>Promotion happens through workspace execution and approval, not by merging between environment branches.</w:t>
      </w:r>
    </w:p>
    <w:p>
      <w:r>
        <w:t>Why this works better in the client environment</w:t>
      </w:r>
    </w:p>
    <w:p>
      <w:pPr>
        <w:pStyle w:val="ListBullet"/>
      </w:pPr>
      <w:r>
        <w:t>It directly addresses the client’s core complaint: production should not react to every ordinary merge used to advance non-production work.</w:t>
      </w:r>
    </w:p>
    <w:p>
      <w:pPr>
        <w:pStyle w:val="ListBullet"/>
      </w:pPr>
      <w:r>
        <w:t>It keeps the Git model simple for engineers who already have SDLC maturity gaps on the infrastructure side. A single protected deployable branch is easier to govern than multiple long-lived environment branches.</w:t>
      </w:r>
    </w:p>
    <w:p>
      <w:pPr>
        <w:pStyle w:val="ListBullet"/>
      </w:pPr>
      <w:r>
        <w:t>It aligns with the way HCP Terraform actually owns state and execution. One workspace equals one lifecycle boundary is cleaner than asking a branch to carry environment meaning.</w:t>
      </w:r>
    </w:p>
    <w:p>
      <w:pPr>
        <w:pStyle w:val="ListBullet"/>
      </w:pPr>
      <w:r>
        <w:t>It improves portability. If the client later adopts GitHub, the same branching approach and workspace model still apply.</w:t>
      </w:r>
    </w:p>
    <w:p>
      <w:pPr>
        <w:pStyle w:val="ListBullet"/>
      </w:pPr>
      <w:r>
        <w:t>It makes production promotion a visible, auditable, business-controlled action instead of a side effect of keeping branches in sync.</w:t>
      </w:r>
    </w:p>
    <w:p>
      <w:pPr>
        <w:pStyle w:val="Heading1"/>
      </w:pPr>
      <w:r>
        <w:t>6. How HCP workspaces fit into the strategy</w:t>
      </w:r>
    </w:p>
    <w:p>
      <w:r>
        <w:t>The recommended design is not 'one branch per workspace'. Instead, it is:</w:t>
      </w:r>
    </w:p>
    <w:p>
      <w:pPr>
        <w:pStyle w:val="ListBullet"/>
      </w:pPr>
      <w:r>
        <w:t>one repository</w:t>
      </w:r>
    </w:p>
    <w:p>
      <w:pPr>
        <w:pStyle w:val="ListBullet"/>
      </w:pPr>
      <w:r>
        <w:t>one protected deployable main branch</w:t>
      </w:r>
    </w:p>
    <w:p>
      <w:pPr>
        <w:pStyle w:val="ListBullet"/>
      </w:pPr>
      <w:r>
        <w:t>one workspace per environment</w:t>
      </w:r>
    </w:p>
    <w:p>
      <w:pPr>
        <w:pStyle w:val="ListBullet"/>
      </w:pPr>
      <w:r>
        <w:t>one working directory per environment root</w:t>
      </w:r>
    </w:p>
    <w:p>
      <w:pPr>
        <w:pStyle w:val="ListBullet"/>
      </w:pPr>
      <w:r>
        <w:t>one state file per workspace</w:t>
      </w:r>
    </w:p>
    <w:p>
      <w:r>
        <w:t>That means multiple HCP workspaces can point to the same repository and the same main branch, while still representing different environments.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1F4E78"/>
            <w:vAlign w:val="center"/>
            <w:tcMar>
              <w:top w:w="80" w:type="dxa"/>
              <w:start w:w="90" w:type="dxa"/>
              <w:bottom w:w="80" w:type="dxa"/>
              <w:end w:w="90" w:type="dxa"/>
            </w:tcMar>
          </w:tcPr>
          <w:p>
            <w:pPr>
              <w:jc w:val="center"/>
            </w:pPr>
            <w:r>
              <w:rPr>
                <w:b/>
                <w:color w:val="FFFFFF"/>
                <w:sz w:val="20"/>
              </w:rPr>
              <w:t>Environment</w:t>
            </w:r>
          </w:p>
        </w:tc>
        <w:tc>
          <w:tcPr>
            <w:tcW w:type="dxa" w:w="2448"/>
            <w:shd w:fill="1F4E78"/>
            <w:vAlign w:val="center"/>
            <w:tcMar>
              <w:top w:w="80" w:type="dxa"/>
              <w:start w:w="90" w:type="dxa"/>
              <w:bottom w:w="80" w:type="dxa"/>
              <w:end w:w="90" w:type="dxa"/>
            </w:tcMar>
          </w:tcPr>
          <w:p>
            <w:pPr>
              <w:jc w:val="center"/>
            </w:pPr>
            <w:r>
              <w:rPr>
                <w:b/>
                <w:color w:val="FFFFFF"/>
                <w:sz w:val="20"/>
              </w:rPr>
              <w:t>Workspace</w:t>
            </w:r>
          </w:p>
        </w:tc>
        <w:tc>
          <w:tcPr>
            <w:tcW w:type="dxa" w:w="2448"/>
            <w:shd w:fill="1F4E78"/>
            <w:vAlign w:val="center"/>
            <w:tcMar>
              <w:top w:w="80" w:type="dxa"/>
              <w:start w:w="90" w:type="dxa"/>
              <w:bottom w:w="80" w:type="dxa"/>
              <w:end w:w="90" w:type="dxa"/>
            </w:tcMar>
          </w:tcPr>
          <w:p>
            <w:pPr>
              <w:jc w:val="center"/>
            </w:pPr>
            <w:r>
              <w:rPr>
                <w:b/>
                <w:color w:val="FFFFFF"/>
                <w:sz w:val="20"/>
              </w:rPr>
              <w:t>Branch</w:t>
            </w:r>
          </w:p>
        </w:tc>
        <w:tc>
          <w:tcPr>
            <w:tcW w:type="dxa" w:w="2448"/>
            <w:shd w:fill="1F4E78"/>
            <w:vAlign w:val="center"/>
            <w:tcMar>
              <w:top w:w="80" w:type="dxa"/>
              <w:start w:w="90" w:type="dxa"/>
              <w:bottom w:w="80" w:type="dxa"/>
              <w:end w:w="90" w:type="dxa"/>
            </w:tcMar>
          </w:tcPr>
          <w:p>
            <w:pPr>
              <w:jc w:val="center"/>
            </w:pPr>
            <w:r>
              <w:rPr>
                <w:b/>
                <w:color w:val="FFFFFF"/>
                <w:sz w:val="20"/>
              </w:rPr>
              <w:t>Working directory</w:t>
            </w:r>
          </w:p>
        </w:tc>
      </w:tr>
      <w:tr>
        <w:tc>
          <w:tcPr>
            <w:tcW w:type="dxa" w:w="2448"/>
            <w:vAlign w:val="center"/>
            <w:tcMar>
              <w:top w:w="80" w:type="dxa"/>
              <w:start w:w="90" w:type="dxa"/>
              <w:bottom w:w="80" w:type="dxa"/>
              <w:end w:w="90" w:type="dxa"/>
            </w:tcMar>
          </w:tcPr>
          <w:p>
            <w:r>
              <w:rPr>
                <w:sz w:val="20"/>
              </w:rPr>
              <w:t>NP0</w:t>
            </w:r>
          </w:p>
        </w:tc>
        <w:tc>
          <w:tcPr>
            <w:tcW w:type="dxa" w:w="2448"/>
            <w:vAlign w:val="center"/>
            <w:tcMar>
              <w:top w:w="80" w:type="dxa"/>
              <w:start w:w="90" w:type="dxa"/>
              <w:bottom w:w="80" w:type="dxa"/>
              <w:end w:w="90" w:type="dxa"/>
            </w:tcMar>
          </w:tcPr>
          <w:p>
            <w:r>
              <w:rPr>
                <w:sz w:val="20"/>
              </w:rPr>
              <w:t>payments-np0-eastus-core</w:t>
            </w:r>
          </w:p>
        </w:tc>
        <w:tc>
          <w:tcPr>
            <w:tcW w:type="dxa" w:w="2448"/>
            <w:vAlign w:val="center"/>
            <w:tcMar>
              <w:top w:w="80" w:type="dxa"/>
              <w:start w:w="90" w:type="dxa"/>
              <w:bottom w:w="80" w:type="dxa"/>
              <w:end w:w="90" w:type="dxa"/>
            </w:tcMar>
          </w:tcPr>
          <w:p>
            <w:r>
              <w:rPr>
                <w:sz w:val="20"/>
              </w:rPr>
              <w:t>main</w:t>
            </w:r>
          </w:p>
        </w:tc>
        <w:tc>
          <w:tcPr>
            <w:tcW w:type="dxa" w:w="2448"/>
            <w:vAlign w:val="center"/>
            <w:tcMar>
              <w:top w:w="80" w:type="dxa"/>
              <w:start w:w="90" w:type="dxa"/>
              <w:bottom w:w="80" w:type="dxa"/>
              <w:end w:w="90" w:type="dxa"/>
            </w:tcMar>
          </w:tcPr>
          <w:p>
            <w:r>
              <w:rPr>
                <w:sz w:val="20"/>
              </w:rPr>
              <w:t>environments/np0</w:t>
            </w:r>
          </w:p>
        </w:tc>
      </w:tr>
      <w:tr>
        <w:tc>
          <w:tcPr>
            <w:tcW w:type="dxa" w:w="2448"/>
            <w:shd w:fill="F5F8FC"/>
            <w:vAlign w:val="center"/>
            <w:tcMar>
              <w:top w:w="80" w:type="dxa"/>
              <w:start w:w="90" w:type="dxa"/>
              <w:bottom w:w="80" w:type="dxa"/>
              <w:end w:w="90" w:type="dxa"/>
            </w:tcMar>
          </w:tcPr>
          <w:p>
            <w:r>
              <w:rPr>
                <w:sz w:val="20"/>
              </w:rPr>
              <w:t>NP1</w:t>
            </w:r>
          </w:p>
        </w:tc>
        <w:tc>
          <w:tcPr>
            <w:tcW w:type="dxa" w:w="2448"/>
            <w:shd w:fill="F5F8FC"/>
            <w:vAlign w:val="center"/>
            <w:tcMar>
              <w:top w:w="80" w:type="dxa"/>
              <w:start w:w="90" w:type="dxa"/>
              <w:bottom w:w="80" w:type="dxa"/>
              <w:end w:w="90" w:type="dxa"/>
            </w:tcMar>
          </w:tcPr>
          <w:p>
            <w:r>
              <w:rPr>
                <w:sz w:val="20"/>
              </w:rPr>
              <w:t>payments-np1-eastus-core</w:t>
            </w:r>
          </w:p>
        </w:tc>
        <w:tc>
          <w:tcPr>
            <w:tcW w:type="dxa" w:w="2448"/>
            <w:shd w:fill="F5F8FC"/>
            <w:vAlign w:val="center"/>
            <w:tcMar>
              <w:top w:w="80" w:type="dxa"/>
              <w:start w:w="90" w:type="dxa"/>
              <w:bottom w:w="80" w:type="dxa"/>
              <w:end w:w="90" w:type="dxa"/>
            </w:tcMar>
          </w:tcPr>
          <w:p>
            <w:r>
              <w:rPr>
                <w:sz w:val="20"/>
              </w:rPr>
              <w:t>main</w:t>
            </w:r>
          </w:p>
        </w:tc>
        <w:tc>
          <w:tcPr>
            <w:tcW w:type="dxa" w:w="2448"/>
            <w:shd w:fill="F5F8FC"/>
            <w:vAlign w:val="center"/>
            <w:tcMar>
              <w:top w:w="80" w:type="dxa"/>
              <w:start w:w="90" w:type="dxa"/>
              <w:bottom w:w="80" w:type="dxa"/>
              <w:end w:w="90" w:type="dxa"/>
            </w:tcMar>
          </w:tcPr>
          <w:p>
            <w:r>
              <w:rPr>
                <w:sz w:val="20"/>
              </w:rPr>
              <w:t>environments/np1</w:t>
            </w:r>
          </w:p>
        </w:tc>
      </w:tr>
      <w:tr>
        <w:tc>
          <w:tcPr>
            <w:tcW w:type="dxa" w:w="2448"/>
            <w:vAlign w:val="center"/>
            <w:tcMar>
              <w:top w:w="80" w:type="dxa"/>
              <w:start w:w="90" w:type="dxa"/>
              <w:bottom w:w="80" w:type="dxa"/>
              <w:end w:w="90" w:type="dxa"/>
            </w:tcMar>
          </w:tcPr>
          <w:p>
            <w:r>
              <w:rPr>
                <w:sz w:val="20"/>
              </w:rPr>
              <w:t>NP2</w:t>
            </w:r>
          </w:p>
        </w:tc>
        <w:tc>
          <w:tcPr>
            <w:tcW w:type="dxa" w:w="2448"/>
            <w:vAlign w:val="center"/>
            <w:tcMar>
              <w:top w:w="80" w:type="dxa"/>
              <w:start w:w="90" w:type="dxa"/>
              <w:bottom w:w="80" w:type="dxa"/>
              <w:end w:w="90" w:type="dxa"/>
            </w:tcMar>
          </w:tcPr>
          <w:p>
            <w:r>
              <w:rPr>
                <w:sz w:val="20"/>
              </w:rPr>
              <w:t>payments-np2-eastus-core</w:t>
            </w:r>
          </w:p>
        </w:tc>
        <w:tc>
          <w:tcPr>
            <w:tcW w:type="dxa" w:w="2448"/>
            <w:vAlign w:val="center"/>
            <w:tcMar>
              <w:top w:w="80" w:type="dxa"/>
              <w:start w:w="90" w:type="dxa"/>
              <w:bottom w:w="80" w:type="dxa"/>
              <w:end w:w="90" w:type="dxa"/>
            </w:tcMar>
          </w:tcPr>
          <w:p>
            <w:r>
              <w:rPr>
                <w:sz w:val="20"/>
              </w:rPr>
              <w:t>main</w:t>
            </w:r>
          </w:p>
        </w:tc>
        <w:tc>
          <w:tcPr>
            <w:tcW w:type="dxa" w:w="2448"/>
            <w:vAlign w:val="center"/>
            <w:tcMar>
              <w:top w:w="80" w:type="dxa"/>
              <w:start w:w="90" w:type="dxa"/>
              <w:bottom w:w="80" w:type="dxa"/>
              <w:end w:w="90" w:type="dxa"/>
            </w:tcMar>
          </w:tcPr>
          <w:p>
            <w:r>
              <w:rPr>
                <w:sz w:val="20"/>
              </w:rPr>
              <w:t>environments/np2</w:t>
            </w:r>
          </w:p>
        </w:tc>
      </w:tr>
      <w:tr>
        <w:tc>
          <w:tcPr>
            <w:tcW w:type="dxa" w:w="2448"/>
            <w:shd w:fill="F5F8FC"/>
            <w:vAlign w:val="center"/>
            <w:tcMar>
              <w:top w:w="80" w:type="dxa"/>
              <w:start w:w="90" w:type="dxa"/>
              <w:bottom w:w="80" w:type="dxa"/>
              <w:end w:w="90" w:type="dxa"/>
            </w:tcMar>
          </w:tcPr>
          <w:p>
            <w:r>
              <w:rPr>
                <w:sz w:val="20"/>
              </w:rPr>
              <w:t>NP3</w:t>
            </w:r>
          </w:p>
        </w:tc>
        <w:tc>
          <w:tcPr>
            <w:tcW w:type="dxa" w:w="2448"/>
            <w:shd w:fill="F5F8FC"/>
            <w:vAlign w:val="center"/>
            <w:tcMar>
              <w:top w:w="80" w:type="dxa"/>
              <w:start w:w="90" w:type="dxa"/>
              <w:bottom w:w="80" w:type="dxa"/>
              <w:end w:w="90" w:type="dxa"/>
            </w:tcMar>
          </w:tcPr>
          <w:p>
            <w:r>
              <w:rPr>
                <w:sz w:val="20"/>
              </w:rPr>
              <w:t>payments-np3-eastus-core</w:t>
            </w:r>
          </w:p>
        </w:tc>
        <w:tc>
          <w:tcPr>
            <w:tcW w:type="dxa" w:w="2448"/>
            <w:shd w:fill="F5F8FC"/>
            <w:vAlign w:val="center"/>
            <w:tcMar>
              <w:top w:w="80" w:type="dxa"/>
              <w:start w:w="90" w:type="dxa"/>
              <w:bottom w:w="80" w:type="dxa"/>
              <w:end w:w="90" w:type="dxa"/>
            </w:tcMar>
          </w:tcPr>
          <w:p>
            <w:r>
              <w:rPr>
                <w:sz w:val="20"/>
              </w:rPr>
              <w:t>main</w:t>
            </w:r>
          </w:p>
        </w:tc>
        <w:tc>
          <w:tcPr>
            <w:tcW w:type="dxa" w:w="2448"/>
            <w:shd w:fill="F5F8FC"/>
            <w:vAlign w:val="center"/>
            <w:tcMar>
              <w:top w:w="80" w:type="dxa"/>
              <w:start w:w="90" w:type="dxa"/>
              <w:bottom w:w="80" w:type="dxa"/>
              <w:end w:w="90" w:type="dxa"/>
            </w:tcMar>
          </w:tcPr>
          <w:p>
            <w:r>
              <w:rPr>
                <w:sz w:val="20"/>
              </w:rPr>
              <w:t>environments/np3</w:t>
            </w:r>
          </w:p>
        </w:tc>
      </w:tr>
      <w:tr>
        <w:tc>
          <w:tcPr>
            <w:tcW w:type="dxa" w:w="2448"/>
            <w:vAlign w:val="center"/>
            <w:tcMar>
              <w:top w:w="80" w:type="dxa"/>
              <w:start w:w="90" w:type="dxa"/>
              <w:bottom w:w="80" w:type="dxa"/>
              <w:end w:w="90" w:type="dxa"/>
            </w:tcMar>
          </w:tcPr>
          <w:p>
            <w:r>
              <w:rPr>
                <w:sz w:val="20"/>
              </w:rPr>
              <w:t>Prod</w:t>
            </w:r>
          </w:p>
        </w:tc>
        <w:tc>
          <w:tcPr>
            <w:tcW w:type="dxa" w:w="2448"/>
            <w:vAlign w:val="center"/>
            <w:tcMar>
              <w:top w:w="80" w:type="dxa"/>
              <w:start w:w="90" w:type="dxa"/>
              <w:bottom w:w="80" w:type="dxa"/>
              <w:end w:w="90" w:type="dxa"/>
            </w:tcMar>
          </w:tcPr>
          <w:p>
            <w:r>
              <w:rPr>
                <w:sz w:val="20"/>
              </w:rPr>
              <w:t>payments-prod-eastus-core</w:t>
            </w:r>
          </w:p>
        </w:tc>
        <w:tc>
          <w:tcPr>
            <w:tcW w:type="dxa" w:w="2448"/>
            <w:vAlign w:val="center"/>
            <w:tcMar>
              <w:top w:w="80" w:type="dxa"/>
              <w:start w:w="90" w:type="dxa"/>
              <w:bottom w:w="80" w:type="dxa"/>
              <w:end w:w="90" w:type="dxa"/>
            </w:tcMar>
          </w:tcPr>
          <w:p>
            <w:r>
              <w:rPr>
                <w:sz w:val="20"/>
              </w:rPr>
              <w:t>main</w:t>
            </w:r>
          </w:p>
        </w:tc>
        <w:tc>
          <w:tcPr>
            <w:tcW w:type="dxa" w:w="2448"/>
            <w:vAlign w:val="center"/>
            <w:tcMar>
              <w:top w:w="80" w:type="dxa"/>
              <w:start w:w="90" w:type="dxa"/>
              <w:bottom w:w="80" w:type="dxa"/>
              <w:end w:w="90" w:type="dxa"/>
            </w:tcMar>
          </w:tcPr>
          <w:p>
            <w:r>
              <w:rPr>
                <w:sz w:val="20"/>
              </w:rPr>
              <w:t>environments/prod</w:t>
            </w:r>
          </w:p>
        </w:tc>
      </w:tr>
    </w:tbl>
    <w:p/>
    <w:p>
      <w:r>
        <w:t>Each workspace then has its own variables, variable sets, apply permissions, policy scope, run history, and state. The environment identity lives in the workspace and root configuration, not in a Git branch.</w:t>
      </w:r>
    </w:p>
    <w:p>
      <w:pPr>
        <w:pStyle w:val="Heading1"/>
      </w:pPr>
      <w:r>
        <w:t>7. How production stays gated and does not deploy accidentally</w:t>
      </w:r>
    </w:p>
    <w:p>
      <w:r>
        <w:t>There are two separate controls to understand.</w:t>
      </w:r>
    </w:p>
    <w:p>
      <w:pPr>
        <w:pStyle w:val="ListNumber"/>
      </w:pPr>
      <w:r>
        <w:t>Prevent automatic production deployment.</w:t>
      </w:r>
    </w:p>
    <w:p>
      <w:r>
        <w:t>Keep the production workspace on manual apply. In that model, even when a production plan is queued, nothing is deployed until an authorized approver confirms the apply.</w:t>
      </w:r>
    </w:p>
    <w:p>
      <w:pPr>
        <w:pStyle w:val="ListNumber"/>
      </w:pPr>
      <w:r>
        <w:t>Prevent ordinary non-production changes from queuing unwanted production work.</w:t>
      </w:r>
    </w:p>
    <w:p>
      <w:r>
        <w:t>This is the more important design point. To stop routine non-production merges from creating production runs, production must only react to deliberate production configuration changes. That is achieved through environment-specific roots and versioned module promotion.</w:t>
      </w:r>
    </w:p>
    <w:p>
      <w:r>
        <w:t>Recommended production-gating pattern</w:t>
      </w:r>
    </w:p>
    <w:p>
      <w:pPr>
        <w:pStyle w:val="ListBullet"/>
      </w:pPr>
      <w:r>
        <w:t>Give each environment its own root directory, such as environments/np1 and environments/prod.</w:t>
      </w:r>
    </w:p>
    <w:p>
      <w:pPr>
        <w:pStyle w:val="ListBullet"/>
      </w:pPr>
      <w:r>
        <w:t>Point each HCP workspace to its own working directory.</w:t>
      </w:r>
    </w:p>
    <w:p>
      <w:pPr>
        <w:pStyle w:val="ListBullet"/>
      </w:pPr>
      <w:r>
        <w:t>Have environment roots consume reusable modules from the HCP private registry with explicit version pins.</w:t>
      </w:r>
    </w:p>
    <w:p>
      <w:pPr>
        <w:pStyle w:val="ListBullet"/>
      </w:pPr>
      <w:r>
        <w:t>Promote to production by changing the production root's approved module version or environment input through a dedicated PR.</w:t>
      </w:r>
    </w:p>
    <w:p>
      <w:pPr>
        <w:pStyle w:val="ListBullet"/>
      </w:pPr>
      <w:r>
        <w:t>Require stricter reviewers and apply permissions for the production workspace than for non-production workspaces.</w:t>
      </w:r>
    </w:p>
    <w:p>
      <w:r>
        <w:t>Why this matters</w:t>
      </w:r>
    </w:p>
    <w:p>
      <w:pPr>
        <w:pStyle w:val="ListBullet"/>
      </w:pPr>
      <w:r>
        <w:t>If all environments consume mutable local modules directly from the same repo, then shared module changes can conceptually affect every environment at once.</w:t>
      </w:r>
    </w:p>
    <w:p>
      <w:pPr>
        <w:pStyle w:val="ListBullet"/>
      </w:pPr>
      <w:r>
        <w:t>If production instead consumes versioned registry modules, production only moves when the production root is explicitly updated to a new approved version.</w:t>
      </w:r>
    </w:p>
    <w:p>
      <w:pPr>
        <w:pStyle w:val="ListBullet"/>
      </w:pPr>
      <w:r>
        <w:t>This converts production release from a branch synchronization event into a controlled configuration promotion event.</w:t>
      </w:r>
    </w:p>
    <w:p>
      <w:pPr>
        <w:pStyle w:val="Heading1"/>
      </w:pPr>
      <w:r>
        <w:t>8. Environment roots and promotion flow</w:t>
      </w:r>
    </w:p>
    <w:p>
      <w:r>
        <w:t>Illustrative repository shape</w:t>
      </w:r>
    </w:p>
    <w:tbl>
      <w:tblPr>
        <w:tblStyle w:val="TableGrid"/>
        <w:tblW w:type="auto" w:w="0"/>
        <w:jc w:val="center"/>
        <w:tblLook w:firstColumn="1" w:firstRow="1" w:lastColumn="0" w:lastRow="0" w:noHBand="0" w:noVBand="1" w:val="04A0"/>
      </w:tblPr>
      <w:tblGrid>
        <w:gridCol w:w="9792"/>
      </w:tblGrid>
      <w:tr>
        <w:tc>
          <w:tcPr>
            <w:tcW w:type="dxa" w:w="9792"/>
            <w:shd w:fill="EEF3F8"/>
            <w:vAlign w:val="center"/>
            <w:tcMar>
              <w:top w:w="80" w:type="dxa"/>
              <w:start w:w="90" w:type="dxa"/>
              <w:bottom w:w="80" w:type="dxa"/>
              <w:end w:w="90" w:type="dxa"/>
            </w:tcMar>
          </w:tcPr>
          <w:p>
            <w:pPr>
              <w:jc w:val="left"/>
            </w:pPr>
            <w:r>
              <w:rPr>
                <w:rFonts w:ascii="Consolas" w:hAnsi="Consolas"/>
                <w:b/>
                <w:color w:val="222222"/>
                <w:sz w:val="19"/>
              </w:rPr>
              <w:t>repo/</w:t>
              <w:br/>
              <w:t xml:space="preserve">  modules/            # shared reusable code, ideally published to registry</w:t>
              <w:br/>
              <w:t xml:space="preserve">  environments/</w:t>
              <w:br/>
              <w:t xml:space="preserve">    np0/</w:t>
              <w:br/>
              <w:t xml:space="preserve">    np1/</w:t>
              <w:br/>
              <w:t xml:space="preserve">    np2/</w:t>
              <w:br/>
              <w:t xml:space="preserve">    np3/</w:t>
              <w:br/>
              <w:t xml:space="preserve">    prod/</w:t>
            </w:r>
          </w:p>
        </w:tc>
      </w:tr>
    </w:tbl>
    <w:p>
      <w:r>
        <w:t>Promotion sequence</w:t>
      </w:r>
    </w:p>
    <w:p>
      <w:pPr>
        <w:pStyle w:val="ListBullet"/>
      </w:pPr>
      <w:r>
        <w:t>A feature branch changes shared code or updates the version/input for NP1.</w:t>
      </w:r>
    </w:p>
    <w:p>
      <w:pPr>
        <w:pStyle w:val="ListBullet"/>
      </w:pPr>
      <w:r>
        <w:t>A pull request targets main. Azure DevOps runs pre-merge gates and HCP provides speculative plans for impacted workspaces.</w:t>
      </w:r>
    </w:p>
    <w:p>
      <w:pPr>
        <w:pStyle w:val="ListBullet"/>
      </w:pPr>
      <w:r>
        <w:t>After merge, the NP1 workspace gets a normal run because the NP1 directory changed.</w:t>
      </w:r>
    </w:p>
    <w:p>
      <w:pPr>
        <w:pStyle w:val="ListBullet"/>
      </w:pPr>
      <w:r>
        <w:t>When ready, another PR updates NP2 to the already tested version. That merge triggers NP2 only.</w:t>
      </w:r>
    </w:p>
    <w:p>
      <w:pPr>
        <w:pStyle w:val="ListBullet"/>
      </w:pPr>
      <w:r>
        <w:t>The same controlled promotion happens for NP3.</w:t>
      </w:r>
    </w:p>
    <w:p>
      <w:pPr>
        <w:pStyle w:val="ListBullet"/>
      </w:pPr>
      <w:r>
        <w:t>Production promotion is a dedicated PR that updates environments/prod to the approved version or input. Only then does the prod workspace plan, and apply remains manual.</w:t>
      </w:r>
    </w:p>
    <w:p>
      <w:pPr>
        <w:pStyle w:val="Heading1"/>
      </w:pPr>
      <w:r>
        <w:t>9. Assessment of the client’s develop/main proposal</w:t>
      </w:r>
    </w:p>
    <w:p>
      <w:r>
        <w:t>Pros</w:t>
      </w:r>
    </w:p>
    <w:p>
      <w:pPr>
        <w:pStyle w:val="ListBullet"/>
      </w:pPr>
      <w:r>
        <w:t>Minimal disruption to the current HCP VCS workspace model because workspaces can continue to track a single configured branch.</w:t>
      </w:r>
    </w:p>
    <w:p>
      <w:pPr>
        <w:pStyle w:val="ListBullet"/>
      </w:pPr>
      <w:r>
        <w:t>Provides quick risk reduction by preventing ordinary non-production merges from automatically affecting production-linked workspaces.</w:t>
      </w:r>
    </w:p>
    <w:p>
      <w:pPr>
        <w:pStyle w:val="ListBullet"/>
      </w:pPr>
      <w:r>
        <w:t>Creates an obvious review boundary for production promotion through a develop-to-main pull request.</w:t>
      </w:r>
    </w:p>
    <w:p>
      <w:pPr>
        <w:pStyle w:val="ListBullet"/>
      </w:pPr>
      <w:r>
        <w:t>Can be implemented while broader CI, policy, and module-governance controls are still being designed.</w:t>
      </w:r>
    </w:p>
    <w:p>
      <w:r>
        <w:t>Cons</w:t>
      </w:r>
    </w:p>
    <w:p>
      <w:pPr>
        <w:pStyle w:val="ListBullet"/>
      </w:pPr>
      <w:r>
        <w:t>NP1, NP2, and NP3 still move together unless repository structure and HCP trigger scoping are improved.</w:t>
      </w:r>
    </w:p>
    <w:p>
      <w:pPr>
        <w:pStyle w:val="ListBullet"/>
      </w:pPr>
      <w:r>
        <w:t>Long-lived develop and main branches must be synchronized, creating merge debt, back-merge obligations, and audit noise.</w:t>
      </w:r>
    </w:p>
    <w:p>
      <w:pPr>
        <w:pStyle w:val="ListBullet"/>
      </w:pPr>
      <w:r>
        <w:t>The model still treats branches as environment boundaries, which is the scaling problem the client is already struggling with.</w:t>
      </w:r>
    </w:p>
    <w:p>
      <w:pPr>
        <w:pStyle w:val="ListBullet"/>
      </w:pPr>
      <w:r>
        <w:t>Self-approval in non-production may be tolerable for NP0 and limited NP1 use cases, but it is weak for QA/UAT environments intended to provide oversight and release confidence.</w:t>
      </w:r>
    </w:p>
    <w:p>
      <w:pPr>
        <w:pStyle w:val="ListBullet"/>
      </w:pPr>
      <w:r>
        <w:t>Hotfixes into production still require disciplined back-merging to avoid divergence.</w:t>
      </w:r>
    </w:p>
    <w:p>
      <w:r>
        <w:t>Position</w:t>
      </w:r>
    </w:p>
    <w:p>
      <w:r>
        <w:t>The develop/main proposal is worth using as a transitional control if the client needs immediate relief from production-trigger noise. It should be treated as an interim operating model, not the final enterprise target.</w:t>
      </w:r>
    </w:p>
    <w:p>
      <w:pPr>
        <w:pStyle w:val="Heading1"/>
      </w:pPr>
      <w:r>
        <w:t>10. Recommended POC</w:t>
      </w:r>
    </w:p>
    <w:p>
      <w:r>
        <w:t>The POC should be run in two stages so the client can prove the mechanics first and then prove the controlled-promotion model.</w:t>
      </w:r>
    </w:p>
    <w:p>
      <w:r>
        <w:t>Stage 1 — prove multi-workspace mapping to the same main branch</w:t>
      </w:r>
    </w:p>
    <w:p>
      <w:pPr>
        <w:pStyle w:val="ListBullet"/>
      </w:pPr>
      <w:r>
        <w:t>Choose one representative Terraform repository.</w:t>
      </w:r>
    </w:p>
    <w:p>
      <w:pPr>
        <w:pStyle w:val="ListBullet"/>
      </w:pPr>
      <w:r>
        <w:t>Create environment roots such as environments/np1, environments/np2, environments/np3, and environments/prod.</w:t>
      </w:r>
    </w:p>
    <w:p>
      <w:pPr>
        <w:pStyle w:val="ListBullet"/>
      </w:pPr>
      <w:r>
        <w:t>Create one HCP workspace per environment. Each workspace points to the same repo and same main branch, but to a different working directory.</w:t>
      </w:r>
    </w:p>
    <w:p>
      <w:pPr>
        <w:pStyle w:val="ListBullet"/>
      </w:pPr>
      <w:r>
        <w:t>Keep manual apply enabled for all workspaces during the POC.</w:t>
      </w:r>
    </w:p>
    <w:p>
      <w:pPr>
        <w:pStyle w:val="ListBullet"/>
      </w:pPr>
      <w:r>
        <w:t>Add required pull-request checks in Azure DevOps before merge.</w:t>
      </w:r>
    </w:p>
    <w:p>
      <w:r>
        <w:t>Success criteria</w:t>
      </w:r>
    </w:p>
    <w:p>
      <w:pPr>
        <w:pStyle w:val="ListBullet"/>
      </w:pPr>
      <w:r>
        <w:t>A PR that changes only environments/np1 results in speculative planning relevant to NP1, not a broad environment movement.</w:t>
      </w:r>
    </w:p>
    <w:p>
      <w:pPr>
        <w:pStyle w:val="ListBullet"/>
      </w:pPr>
      <w:r>
        <w:t>A merge affecting NP1 queues only the NP1 run under normal operating conditions.</w:t>
      </w:r>
    </w:p>
    <w:p>
      <w:pPr>
        <w:pStyle w:val="ListBullet"/>
      </w:pPr>
      <w:r>
        <w:t>Production does not deploy because the production root was untouched and production apply remains manual.</w:t>
      </w:r>
    </w:p>
    <w:p>
      <w:r>
        <w:t>Stage 2 — prove deliberate promotion using versioned modules</w:t>
      </w:r>
    </w:p>
    <w:p>
      <w:pPr>
        <w:pStyle w:val="ListBullet"/>
      </w:pPr>
      <w:r>
        <w:t>Publish or identify a reusable module in the HCP private registry.</w:t>
      </w:r>
    </w:p>
    <w:p>
      <w:pPr>
        <w:pStyle w:val="ListBullet"/>
      </w:pPr>
      <w:r>
        <w:t>Pin NP1 to an initial approved module version.</w:t>
      </w:r>
    </w:p>
    <w:p>
      <w:pPr>
        <w:pStyle w:val="ListBullet"/>
      </w:pPr>
      <w:r>
        <w:t>Promote the same version to NP2, NP3, and finally Prod using dedicated PRs that change only the target environment root.</w:t>
      </w:r>
    </w:p>
    <w:p>
      <w:pPr>
        <w:pStyle w:val="ListBullet"/>
      </w:pPr>
      <w:r>
        <w:t>Demonstrate that production only moves when the production root is explicitly updated.</w:t>
      </w:r>
    </w:p>
    <w:p>
      <w:r>
        <w:t>Success criteria</w:t>
      </w:r>
    </w:p>
    <w:p>
      <w:pPr>
        <w:pStyle w:val="ListBullet"/>
      </w:pPr>
      <w:r>
        <w:t>Ordinary non-production work no longer creates surprise production runs.</w:t>
      </w:r>
    </w:p>
    <w:p>
      <w:pPr>
        <w:pStyle w:val="ListBullet"/>
      </w:pPr>
      <w:r>
        <w:t>Production plans appear only for deliberate promotion changes.</w:t>
      </w:r>
    </w:p>
    <w:p>
      <w:pPr>
        <w:pStyle w:val="ListBullet"/>
      </w:pPr>
      <w:r>
        <w:t>Production applies remain gated by HCP permissions and explicit approval.</w:t>
      </w:r>
    </w:p>
    <w:p>
      <w:pPr>
        <w:pStyle w:val="Heading1"/>
      </w:pPr>
      <w:r>
        <w:t>11. CI/CD, policy, and deploy-level controls</w:t>
      </w:r>
    </w:p>
    <w:p>
      <w:r>
        <w:t>Azure DevOps responsibilities</w:t>
      </w:r>
    </w:p>
    <w:p>
      <w:pPr>
        <w:pStyle w:val="ListBullet"/>
      </w:pPr>
      <w:r>
        <w:t>Run mandatory pre-merge checks: terraform fmt -check, terraform init -backend=false, terraform validate, tflint, security scan(s), secret scan(s), and policy-as-code checks.</w:t>
      </w:r>
    </w:p>
    <w:p>
      <w:pPr>
        <w:pStyle w:val="ListBullet"/>
      </w:pPr>
      <w:r>
        <w:t>Publish results directly into the pull request and block merge when checks fail.</w:t>
      </w:r>
    </w:p>
    <w:p>
      <w:pPr>
        <w:pStyle w:val="ListBullet"/>
      </w:pPr>
      <w:r>
        <w:t>Enforce branch protections, reviewer policy, comment resolution, and build validation consistently through project or repository policy.</w:t>
      </w:r>
    </w:p>
    <w:p>
      <w:pPr>
        <w:pStyle w:val="ListBullet"/>
      </w:pPr>
      <w:r>
        <w:t>Use one blessed reusable pipeline template rather than copy-paste pipelines.</w:t>
      </w:r>
    </w:p>
    <w:p>
      <w:r>
        <w:t>HCP Terraform responsibilities</w:t>
      </w:r>
    </w:p>
    <w:p>
      <w:pPr>
        <w:pStyle w:val="ListBullet"/>
      </w:pPr>
      <w:r>
        <w:t>Run speculative plans on pull requests for impacted workspaces or working directories.</w:t>
      </w:r>
    </w:p>
    <w:p>
      <w:pPr>
        <w:pStyle w:val="ListBullet"/>
      </w:pPr>
      <w:r>
        <w:t>Run the authoritative post-merge plan and controlled apply sequence.</w:t>
      </w:r>
    </w:p>
    <w:p>
      <w:pPr>
        <w:pStyle w:val="ListBullet"/>
      </w:pPr>
      <w:r>
        <w:t>Hold the state, run history, drift visibility, workspace variables, and apply permissions.</w:t>
      </w:r>
    </w:p>
    <w:p>
      <w:pPr>
        <w:pStyle w:val="ListBullet"/>
      </w:pPr>
      <w:r>
        <w:t>Host policy checks and environment-tier controls for plan and apply.</w:t>
      </w:r>
    </w:p>
    <w:p>
      <w:r>
        <w:t>Additional enterprise controls worth including</w:t>
      </w:r>
    </w:p>
    <w:p>
      <w:pPr>
        <w:pStyle w:val="ListBullet"/>
      </w:pPr>
      <w:r>
        <w:t>Reset reviewer votes when new commits are pushed to a PR and require fresh review for protected branches.</w:t>
      </w:r>
    </w:p>
    <w:p>
      <w:pPr>
        <w:pStyle w:val="ListBullet"/>
      </w:pPr>
      <w:r>
        <w:t>Use required reviewers or path-based ownership for shared modules, security-sensitive folders, and production roots.</w:t>
      </w:r>
    </w:p>
    <w:p>
      <w:pPr>
        <w:pStyle w:val="ListBullet"/>
      </w:pPr>
      <w:r>
        <w:t>Pin provider versions and commit the provider lock file; treat uncontrolled provider drift as an issue to be fixed rather than tolerated.</w:t>
      </w:r>
    </w:p>
    <w:p>
      <w:pPr>
        <w:pStyle w:val="ListBullet"/>
      </w:pPr>
      <w:r>
        <w:t>Publish the HCP plan link or summary into the PR so reviewers can see the infrastructure delta before merge.</w:t>
      </w:r>
    </w:p>
    <w:p>
      <w:pPr>
        <w:pStyle w:val="ListBullet"/>
      </w:pPr>
      <w:r>
        <w:t>Retain deployment evidence for prod: PR, approver, policy result, plan link, ticket or work item, and apply timestamp.</w:t>
      </w:r>
    </w:p>
    <w:p>
      <w:pPr>
        <w:pStyle w:val="ListBullet"/>
      </w:pPr>
      <w:r>
        <w:t>Use separate apply permissions and, where needed, separate agent pools or projects for prod versus non-prod execution.</w:t>
      </w:r>
    </w:p>
    <w:p>
      <w:pPr>
        <w:pStyle w:val="ListBullet"/>
      </w:pPr>
      <w:r>
        <w:t>Add post-apply validation for critical services such as endpoint checks, route/probe checks, smoke tests, and app-specific health verification.</w:t>
      </w:r>
    </w:p>
    <w:p>
      <w:pPr>
        <w:pStyle w:val="ListBullet"/>
      </w:pPr>
      <w:r>
        <w:t>Create a time-bound exception workflow for policy bypasses rather than relying on permanent ignore_changes or ad hoc manual changes.</w:t>
      </w:r>
    </w:p>
    <w:p>
      <w:pPr>
        <w:pStyle w:val="ListBullet"/>
      </w:pPr>
      <w:r>
        <w:t>Operationalize drift and health assessments with clear ownership and SLA expectations.</w:t>
      </w:r>
    </w:p>
    <w:p>
      <w:pPr>
        <w:pStyle w:val="Heading1"/>
      </w:pPr>
      <w:r>
        <w:t>12. Tagging, naming, and policy enforcement</w:t>
      </w:r>
    </w:p>
    <w:p>
      <w:r>
        <w:t>Three-layer model</w:t>
      </w:r>
    </w:p>
    <w:p>
      <w:pPr>
        <w:pStyle w:val="ListBullet"/>
      </w:pPr>
      <w:r>
        <w:t>Layer 1 — Terraform/CI: variable validation, module defaults, OPA/Conftest, naming regex checks, and required-tag validation before merge.</w:t>
      </w:r>
    </w:p>
    <w:p>
      <w:pPr>
        <w:pStyle w:val="ListBullet"/>
      </w:pPr>
      <w:r>
        <w:t>Layer 2 — HCP Terraform: mandatory plan-time policy checks for tags, naming, environment/workspace alignment, and production restrictions.</w:t>
      </w:r>
    </w:p>
    <w:p>
      <w:pPr>
        <w:pStyle w:val="ListBullet"/>
      </w:pPr>
      <w:r>
        <w:t>Layer 3 — Azure Policy: runtime audit/deny/modify/remediation for resources created or changed outside Terraform or after drift.</w:t>
      </w:r>
    </w:p>
    <w:p>
      <w:r>
        <w:t>Minimum required tags</w:t>
      </w:r>
    </w:p>
    <w:p>
      <w:pPr>
        <w:pStyle w:val="ListBullet2"/>
      </w:pPr>
      <w:r>
        <w:t>environment</w:t>
      </w:r>
    </w:p>
    <w:p>
      <w:pPr>
        <w:pStyle w:val="ListBullet2"/>
      </w:pPr>
      <w:r>
        <w:t>application</w:t>
      </w:r>
    </w:p>
    <w:p>
      <w:pPr>
        <w:pStyle w:val="ListBullet2"/>
      </w:pPr>
      <w:r>
        <w:t>owner</w:t>
      </w:r>
    </w:p>
    <w:p>
      <w:pPr>
        <w:pStyle w:val="ListBullet2"/>
      </w:pPr>
      <w:r>
        <w:t>cost_center</w:t>
      </w:r>
    </w:p>
    <w:p>
      <w:pPr>
        <w:pStyle w:val="ListBullet2"/>
      </w:pPr>
      <w:r>
        <w:t>criticality</w:t>
      </w:r>
    </w:p>
    <w:p>
      <w:pPr>
        <w:pStyle w:val="ListBullet2"/>
      </w:pPr>
      <w:r>
        <w:t>created_by</w:t>
      </w:r>
    </w:p>
    <w:p>
      <w:pPr>
        <w:pStyle w:val="Heading1"/>
      </w:pPr>
      <w:r>
        <w:t>13. Module and repository governance</w:t>
      </w:r>
    </w:p>
    <w:p>
      <w:pPr>
        <w:pStyle w:val="ListBullet"/>
      </w:pPr>
      <w:r>
        <w:t>Treat foundational modules as governed products with owners, semantic versions, examples, release notes, and a defined modernization cadence.</w:t>
      </w:r>
    </w:p>
    <w:p>
      <w:pPr>
        <w:pStyle w:val="ListBullet"/>
      </w:pPr>
      <w:r>
        <w:t>Require a lightweight intake before extending a shared module: is the need cross-team, does it change lifecycle boundaries, does it introduce policy exceptions, and could a wrapper solve it instead?</w:t>
      </w:r>
    </w:p>
    <w:p>
      <w:pPr>
        <w:pStyle w:val="ListBullet"/>
      </w:pPr>
      <w:r>
        <w:t>Use a shared repo template or seed process so new IaC repos automatically inherit the same pipeline contract, docs skeleton, and policy posture.</w:t>
      </w:r>
    </w:p>
    <w:p>
      <w:pPr>
        <w:pStyle w:val="ListBullet"/>
      </w:pPr>
      <w:r>
        <w:t>Keep reusable modules separate from live/root deployment repositories whenever practical.</w:t>
      </w:r>
    </w:p>
    <w:p>
      <w:r>
        <w:br w:type="page"/>
      </w:r>
    </w:p>
    <w:p>
      <w:pPr>
        <w:pStyle w:val="Heading1"/>
      </w:pPr>
      <w:r>
        <w:t>14. 30 / 60 / 90-day roadmap</w:t>
      </w:r>
    </w:p>
    <w:tbl>
      <w:tblPr>
        <w:tblStyle w:val="TableGrid"/>
        <w:tblW w:type="auto" w:w="0"/>
        <w:jc w:val="center"/>
        <w:tblLook w:firstColumn="1" w:firstRow="1" w:lastColumn="0" w:lastRow="0" w:noHBand="0" w:noVBand="1" w:val="04A0"/>
      </w:tblPr>
      <w:tblGrid>
        <w:gridCol w:w="4896"/>
        <w:gridCol w:w="4896"/>
      </w:tblGrid>
      <w:tr>
        <w:tc>
          <w:tcPr>
            <w:tcW w:type="dxa" w:w="4896"/>
            <w:shd w:fill="1F4E78"/>
            <w:vAlign w:val="center"/>
            <w:tcMar>
              <w:top w:w="80" w:type="dxa"/>
              <w:start w:w="90" w:type="dxa"/>
              <w:bottom w:w="80" w:type="dxa"/>
              <w:end w:w="90" w:type="dxa"/>
            </w:tcMar>
          </w:tcPr>
          <w:p>
            <w:pPr>
              <w:jc w:val="center"/>
            </w:pPr>
            <w:r>
              <w:rPr>
                <w:b/>
                <w:color w:val="FFFFFF"/>
                <w:sz w:val="20"/>
              </w:rPr>
              <w:t>Time window</w:t>
            </w:r>
          </w:p>
        </w:tc>
        <w:tc>
          <w:tcPr>
            <w:tcW w:type="dxa" w:w="4896"/>
            <w:shd w:fill="1F4E78"/>
            <w:vAlign w:val="center"/>
            <w:tcMar>
              <w:top w:w="80" w:type="dxa"/>
              <w:start w:w="90" w:type="dxa"/>
              <w:bottom w:w="80" w:type="dxa"/>
              <w:end w:w="90" w:type="dxa"/>
            </w:tcMar>
          </w:tcPr>
          <w:p>
            <w:pPr>
              <w:jc w:val="center"/>
            </w:pPr>
            <w:r>
              <w:rPr>
                <w:b/>
                <w:color w:val="FFFFFF"/>
                <w:sz w:val="20"/>
              </w:rPr>
              <w:t>Priority outcomes</w:t>
            </w:r>
          </w:p>
        </w:tc>
      </w:tr>
      <w:tr>
        <w:tc>
          <w:tcPr>
            <w:tcW w:type="dxa" w:w="4896"/>
            <w:vAlign w:val="center"/>
            <w:tcMar>
              <w:top w:w="80" w:type="dxa"/>
              <w:start w:w="90" w:type="dxa"/>
              <w:bottom w:w="80" w:type="dxa"/>
              <w:end w:w="90" w:type="dxa"/>
            </w:tcMar>
          </w:tcPr>
          <w:p>
            <w:r>
              <w:rPr>
                <w:sz w:val="20"/>
              </w:rPr>
              <w:t>0–30 days</w:t>
            </w:r>
          </w:p>
        </w:tc>
        <w:tc>
          <w:tcPr>
            <w:tcW w:type="dxa" w:w="4896"/>
            <w:vAlign w:val="center"/>
            <w:tcMar>
              <w:top w:w="80" w:type="dxa"/>
              <w:start w:w="90" w:type="dxa"/>
              <w:bottom w:w="80" w:type="dxa"/>
              <w:end w:w="90" w:type="dxa"/>
            </w:tcMar>
          </w:tcPr>
          <w:p>
            <w:r>
              <w:rPr>
                <w:sz w:val="20"/>
              </w:rPr>
              <w:t>Standard PR pipeline template; branch protections; pilot workspace-to-environment POC; audit-only Azure Policies; first mandatory CI/HCP policy checks for required tags and naming.</w:t>
            </w:r>
          </w:p>
        </w:tc>
      </w:tr>
      <w:tr>
        <w:tc>
          <w:tcPr>
            <w:tcW w:type="dxa" w:w="4896"/>
            <w:shd w:fill="F5F8FC"/>
            <w:vAlign w:val="center"/>
            <w:tcMar>
              <w:top w:w="80" w:type="dxa"/>
              <w:start w:w="90" w:type="dxa"/>
              <w:bottom w:w="80" w:type="dxa"/>
              <w:end w:w="90" w:type="dxa"/>
            </w:tcMar>
          </w:tcPr>
          <w:p>
            <w:r>
              <w:rPr>
                <w:sz w:val="20"/>
              </w:rPr>
              <w:t>30–60 days</w:t>
            </w:r>
          </w:p>
        </w:tc>
        <w:tc>
          <w:tcPr>
            <w:tcW w:type="dxa" w:w="4896"/>
            <w:shd w:fill="F5F8FC"/>
            <w:vAlign w:val="center"/>
            <w:tcMar>
              <w:top w:w="80" w:type="dxa"/>
              <w:start w:w="90" w:type="dxa"/>
              <w:bottom w:w="80" w:type="dxa"/>
              <w:end w:w="90" w:type="dxa"/>
            </w:tcMar>
          </w:tcPr>
          <w:p>
            <w:r>
              <w:rPr>
                <w:sz w:val="20"/>
              </w:rPr>
              <w:t>Formalize module intake and ownership; reduce copy-paste repo setup; move environment differences out of branches and into workspace configuration and working directories; introduce module version pinning discipline.</w:t>
            </w:r>
          </w:p>
        </w:tc>
      </w:tr>
      <w:tr>
        <w:tc>
          <w:tcPr>
            <w:tcW w:type="dxa" w:w="4896"/>
            <w:vAlign w:val="center"/>
            <w:tcMar>
              <w:top w:w="80" w:type="dxa"/>
              <w:start w:w="90" w:type="dxa"/>
              <w:bottom w:w="80" w:type="dxa"/>
              <w:end w:w="90" w:type="dxa"/>
            </w:tcMar>
          </w:tcPr>
          <w:p>
            <w:r>
              <w:rPr>
                <w:sz w:val="20"/>
              </w:rPr>
              <w:t>60–90 days</w:t>
            </w:r>
          </w:p>
        </w:tc>
        <w:tc>
          <w:tcPr>
            <w:tcW w:type="dxa" w:w="4896"/>
            <w:vAlign w:val="center"/>
            <w:tcMar>
              <w:top w:w="80" w:type="dxa"/>
              <w:start w:w="90" w:type="dxa"/>
              <w:bottom w:w="80" w:type="dxa"/>
              <w:end w:w="90" w:type="dxa"/>
            </w:tcMar>
          </w:tcPr>
          <w:p>
            <w:r>
              <w:rPr>
                <w:sz w:val="20"/>
              </w:rPr>
              <w:t>Adopt the target trunk-based workspace pattern for new or remediated repos; expand policy coverage; operationalize drift review and post-apply checks; finalize module modernization roadmap.</w:t>
            </w:r>
          </w:p>
        </w:tc>
      </w:tr>
    </w:tbl>
    <w:p/>
    <w:p>
      <w:pPr>
        <w:pStyle w:val="Heading1"/>
      </w:pPr>
      <w:r>
        <w:t>15. Final recommendation</w:t>
      </w:r>
    </w:p>
    <w:p>
      <w:r>
        <w:t>The client should treat the current develop/main concept as an interim stabilization measure only. The stronger enterprise design is a single protected deployable main branch, short-lived change branches, one HCP workspace per environment, one root working directory per environment, and production promotion through explicit configuration change and approval rather than through environment branch choreography.</w:t>
      </w:r>
    </w:p>
    <w:p>
      <w:r>
        <w:t>In plain terms: Azure DevOps should become the mandatory code-quality and pull-request gate; HCP Terraform should remain the Terraform execution, state, policy, and drift authority; and production should move only when the production environment root is deliberately updated and an authorized approver confirms the apply.</w:t>
      </w:r>
    </w:p>
    <w:p>
      <w:r>
        <w:t>If the client wants the least-risk path, the POC should first prove that several HCP workspaces can safely map to the same repository and the same main branch while staying isolated through working-directory scoping. Once that is proven, the second step is to prove version-based promotion so production only advances when prod-specific configuration changes are intentionally approved.</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23B6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23B6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