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2"/>
        </w:rPr>
        <w:t>Azure Enterprise Terraform</w:t>
        <w:br/>
        <w:t>Module Review Report</w:t>
      </w:r>
    </w:p>
    <w:p/>
    <w:p>
      <w:pPr>
        <w:jc w:val="center"/>
      </w:pPr>
      <w:r>
        <w:rPr>
          <w:i/>
          <w:color w:val="595959"/>
          <w:sz w:val="28"/>
        </w:rPr>
        <w:t>Reusability, Drift, and Enterprise Readiness Assessment</w:t>
      </w:r>
    </w:p>
    <w:p/>
    <w:p>
      <w:pPr>
        <w:jc w:val="center"/>
      </w:pPr>
      <w:r>
        <w:rPr>
          <w:color w:val="404040"/>
          <w:sz w:val="22"/>
        </w:rPr>
        <w:t>Prepared by: Senior DevOps Engineering Team</w:t>
        <w:br/>
        <w:t>Date: April 2026</w:t>
        <w:br/>
        <w:t>Client: FinServ Azure Cloud Platform</w:t>
      </w:r>
    </w:p>
    <w:p>
      <w:r>
        <w:br w:type="page"/>
      </w:r>
    </w:p>
    <w:p>
      <w:pPr>
        <w:pStyle w:val="Heading1"/>
        <w:jc w:val="left"/>
      </w:pPr>
      <w:r>
        <w:t>1. Executive Summary</w:t>
      </w:r>
    </w:p>
    <w:p>
      <w:r>
        <w:rPr>
          <w:sz w:val="22"/>
        </w:rPr>
        <w:t>This report evaluates the Azure Enterprise Terraform codebase across two repositories (azure-enterprise-terraform and azure-apim-function-app/azure-enterprise-terraform), approximately 30+ modules, 5 global stacks, and 8 environment-specific deployment stacks. It also incorporates observations from HCP Terraform workspace screenshots showing the current production usage patterns.</w:t>
        <w:br/>
        <w:br/>
        <w:t>The code demonstrates strong enterprise foundations — secure-by-default variables, lifecycle preconditions, hub-and-spoke networking, and ABAC role conditions. However, the primary driver of drift and friction is a structural anti-pattern: individual resources being deployed as separate per-resource HCP workspaces (e.g., terraform-azurerm-compeer-event-grid, terraform-azurerm-compeer-storage-account) rather than consuming the unified module library from a single monorepo. This fragmentation makes shared-state orchestration brittle, creates configuration duplication, and prevents standards enforcement.</w:t>
        <w:br/>
        <w:br/>
        <w:t xml:space="preserve">The overall recommendation is to </w:t>
      </w:r>
      <w:r>
        <w:rPr>
          <w:b/>
          <w:sz w:val="22"/>
        </w:rPr>
        <w:t>consolidate all infrastructure into the monorepo pattern</w:t>
      </w:r>
      <w:r>
        <w:rPr>
          <w:sz w:val="22"/>
        </w:rPr>
        <w:t>, publish versioned modules to HCP's private module registry, and apply targeted fixes to the modules identified below.</w:t>
      </w:r>
    </w:p>
    <w:p/>
    <w:tbl>
      <w:tblPr>
        <w:tblStyle w:val="TableGrid"/>
        <w:tblW w:type="auto" w:w="0"/>
        <w:tblLook w:firstColumn="1" w:firstRow="1" w:lastColumn="0" w:lastRow="0" w:noHBand="0" w:noVBand="1" w:val="04A0"/>
      </w:tblPr>
      <w:tblGrid>
        <w:gridCol w:w="2196"/>
        <w:gridCol w:w="2196"/>
        <w:gridCol w:w="2196"/>
        <w:gridCol w:w="2196"/>
      </w:tblGrid>
      <w:tr>
        <w:tc>
          <w:tcPr>
            <w:tcW w:type="dxa" w:w="2196"/>
          </w:tcPr>
          <w:p/>
        </w:tc>
        <w:tc>
          <w:tcPr>
            <w:tcW w:type="dxa" w:w="2196"/>
          </w:tcPr>
          <w:p/>
        </w:tc>
        <w:tc>
          <w:tcPr>
            <w:tcW w:type="dxa" w:w="2196"/>
          </w:tcPr>
          <w:p/>
        </w:tc>
        <w:tc>
          <w:tcPr>
            <w:tcW w:type="dxa" w:w="2196"/>
          </w:tcPr>
          <w:p/>
        </w:tc>
      </w:tr>
      <w:tr>
        <w:tc>
          <w:tcPr>
            <w:tcW w:type="dxa" w:w="2196"/>
            <w:shd w:val="clear" w:color="auto" w:fill="1F4E79"/>
          </w:tcPr>
          <w:p>
            <w:r/>
            <w:r>
              <w:rPr>
                <w:b/>
                <w:color w:val="FFFFFF"/>
              </w:rPr>
              <w:t>Module / Area</w:t>
            </w:r>
          </w:p>
        </w:tc>
        <w:tc>
          <w:tcPr>
            <w:tcW w:type="dxa" w:w="2196"/>
            <w:shd w:val="clear" w:color="auto" w:fill="1F4E79"/>
          </w:tcPr>
          <w:p>
            <w:r/>
            <w:r>
              <w:rPr>
                <w:b/>
                <w:color w:val="FFFFFF"/>
              </w:rPr>
              <w:t>Verdict</w:t>
            </w:r>
          </w:p>
        </w:tc>
        <w:tc>
          <w:tcPr>
            <w:tcW w:type="dxa" w:w="2196"/>
            <w:shd w:val="clear" w:color="auto" w:fill="1F4E79"/>
          </w:tcPr>
          <w:p>
            <w:r/>
            <w:r>
              <w:rPr>
                <w:b/>
                <w:color w:val="FFFFFF"/>
              </w:rPr>
              <w:t>Primary Issue</w:t>
            </w:r>
          </w:p>
        </w:tc>
        <w:tc>
          <w:tcPr>
            <w:tcW w:type="dxa" w:w="2196"/>
            <w:shd w:val="clear" w:color="auto" w:fill="1F4E79"/>
          </w:tcPr>
          <w:p>
            <w:r/>
            <w:r>
              <w:rPr>
                <w:b/>
                <w:color w:val="FFFFFF"/>
              </w:rPr>
              <w:t>Action</w:t>
            </w:r>
          </w:p>
        </w:tc>
      </w:tr>
      <w:tr>
        <w:tc>
          <w:tcPr>
            <w:tcW w:type="dxa" w:w="2196"/>
            <w:shd w:val="clear" w:color="auto" w:fill="EBF3FB"/>
          </w:tcPr>
          <w:p>
            <w:r/>
            <w:r>
              <w:rPr>
                <w:b/>
              </w:rPr>
              <w:t>Repo &amp; HCP Workspace Structure</w:t>
            </w:r>
          </w:p>
        </w:tc>
        <w:tc>
          <w:tcPr>
            <w:tcW w:type="dxa" w:w="2196"/>
            <w:shd w:val="clear" w:color="auto" w:fill="EBF3FB"/>
          </w:tcPr>
          <w:p>
            <w:r/>
            <w:r>
              <w:t>REWRITE</w:t>
            </w:r>
          </w:p>
        </w:tc>
        <w:tc>
          <w:tcPr>
            <w:tcW w:type="dxa" w:w="2196"/>
            <w:shd w:val="clear" w:color="auto" w:fill="EBF3FB"/>
          </w:tcPr>
          <w:p>
            <w:r/>
            <w:r>
              <w:t>Per-resource repos cause drift</w:t>
            </w:r>
          </w:p>
        </w:tc>
        <w:tc>
          <w:tcPr>
            <w:tcW w:type="dxa" w:w="2196"/>
            <w:shd w:val="clear" w:color="auto" w:fill="EBF3FB"/>
          </w:tcPr>
          <w:p>
            <w:r/>
            <w:r>
              <w:t>Monorepo + private registry</w:t>
            </w:r>
          </w:p>
        </w:tc>
      </w:tr>
      <w:tr>
        <w:tc>
          <w:tcPr>
            <w:tcW w:type="dxa" w:w="2196"/>
          </w:tcPr>
          <w:p>
            <w:r/>
            <w:r>
              <w:rPr>
                <w:b/>
              </w:rPr>
              <w:t>network</w:t>
            </w:r>
          </w:p>
        </w:tc>
        <w:tc>
          <w:tcPr>
            <w:tcW w:type="dxa" w:w="2196"/>
          </w:tcPr>
          <w:p>
            <w:r/>
            <w:r>
              <w:t>KEEP</w:t>
            </w:r>
          </w:p>
        </w:tc>
        <w:tc>
          <w:tcPr>
            <w:tcW w:type="dxa" w:w="2196"/>
          </w:tcPr>
          <w:p>
            <w:r/>
            <w:r>
              <w:t>Well-designed, dynamic</w:t>
            </w:r>
          </w:p>
        </w:tc>
        <w:tc>
          <w:tcPr>
            <w:tcW w:type="dxa" w:w="2196"/>
          </w:tcPr>
          <w:p>
            <w:r/>
            <w:r>
              <w:t>Minor cleanup</w:t>
            </w:r>
          </w:p>
        </w:tc>
      </w:tr>
      <w:tr>
        <w:tc>
          <w:tcPr>
            <w:tcW w:type="dxa" w:w="2196"/>
            <w:shd w:val="clear" w:color="auto" w:fill="EBF3FB"/>
          </w:tcPr>
          <w:p>
            <w:r/>
            <w:r>
              <w:rPr>
                <w:b/>
              </w:rPr>
              <w:t>vnet-hub</w:t>
            </w:r>
          </w:p>
        </w:tc>
        <w:tc>
          <w:tcPr>
            <w:tcW w:type="dxa" w:w="2196"/>
            <w:shd w:val="clear" w:color="auto" w:fill="EBF3FB"/>
          </w:tcPr>
          <w:p>
            <w:r/>
            <w:r>
              <w:t>KEEP</w:t>
            </w:r>
          </w:p>
        </w:tc>
        <w:tc>
          <w:tcPr>
            <w:tcW w:type="dxa" w:w="2196"/>
            <w:shd w:val="clear" w:color="auto" w:fill="EBF3FB"/>
          </w:tcPr>
          <w:p>
            <w:r/>
            <w:r>
              <w:t>Good hub aggregator</w:t>
            </w:r>
          </w:p>
        </w:tc>
        <w:tc>
          <w:tcPr>
            <w:tcW w:type="dxa" w:w="2196"/>
            <w:shd w:val="clear" w:color="auto" w:fill="EBF3FB"/>
          </w:tcPr>
          <w:p>
            <w:r/>
            <w:r>
              <w:t>Add DDOS optional, UDR support</w:t>
            </w:r>
          </w:p>
        </w:tc>
      </w:tr>
      <w:tr>
        <w:tc>
          <w:tcPr>
            <w:tcW w:type="dxa" w:w="2196"/>
          </w:tcPr>
          <w:p>
            <w:r/>
            <w:r>
              <w:rPr>
                <w:b/>
              </w:rPr>
              <w:t>vnet-spoke</w:t>
            </w:r>
          </w:p>
        </w:tc>
        <w:tc>
          <w:tcPr>
            <w:tcW w:type="dxa" w:w="2196"/>
          </w:tcPr>
          <w:p>
            <w:r/>
            <w:r>
              <w:t>ADJUST</w:t>
            </w:r>
          </w:p>
        </w:tc>
        <w:tc>
          <w:tcPr>
            <w:tcW w:type="dxa" w:w="2196"/>
          </w:tcPr>
          <w:p>
            <w:r/>
            <w:r>
              <w:t>Hardcoded default CIDRs overlap</w:t>
            </w:r>
          </w:p>
        </w:tc>
        <w:tc>
          <w:tcPr>
            <w:tcW w:type="dxa" w:w="2196"/>
          </w:tcPr>
          <w:p>
            <w:r/>
            <w:r>
              <w:t>Remove static defaults</w:t>
            </w:r>
          </w:p>
        </w:tc>
      </w:tr>
      <w:tr>
        <w:tc>
          <w:tcPr>
            <w:tcW w:type="dxa" w:w="2196"/>
            <w:shd w:val="clear" w:color="auto" w:fill="EBF3FB"/>
          </w:tcPr>
          <w:p>
            <w:r/>
            <w:r>
              <w:rPr>
                <w:b/>
              </w:rPr>
              <w:t>vnet-peering</w:t>
            </w:r>
          </w:p>
        </w:tc>
        <w:tc>
          <w:tcPr>
            <w:tcW w:type="dxa" w:w="2196"/>
            <w:shd w:val="clear" w:color="auto" w:fill="EBF3FB"/>
          </w:tcPr>
          <w:p>
            <w:r/>
            <w:r>
              <w:t>KEEP</w:t>
            </w:r>
          </w:p>
        </w:tc>
        <w:tc>
          <w:tcPr>
            <w:tcW w:type="dxa" w:w="2196"/>
            <w:shd w:val="clear" w:color="auto" w:fill="EBF3FB"/>
          </w:tcPr>
          <w:p>
            <w:r/>
            <w:r>
              <w:t>Clean bidirectional peering</w:t>
            </w:r>
          </w:p>
        </w:tc>
        <w:tc>
          <w:tcPr>
            <w:tcW w:type="dxa" w:w="2196"/>
            <w:shd w:val="clear" w:color="auto" w:fill="EBF3FB"/>
          </w:tcPr>
          <w:p>
            <w:r/>
            <w:r>
              <w:t>Add allow_forwarded_traffic default</w:t>
            </w:r>
          </w:p>
        </w:tc>
      </w:tr>
      <w:tr>
        <w:tc>
          <w:tcPr>
            <w:tcW w:type="dxa" w:w="2196"/>
          </w:tcPr>
          <w:p>
            <w:r/>
            <w:r>
              <w:rPr>
                <w:b/>
              </w:rPr>
              <w:t>aks</w:t>
            </w:r>
          </w:p>
        </w:tc>
        <w:tc>
          <w:tcPr>
            <w:tcW w:type="dxa" w:w="2196"/>
          </w:tcPr>
          <w:p>
            <w:r/>
            <w:r>
              <w:t>KEEP</w:t>
            </w:r>
          </w:p>
        </w:tc>
        <w:tc>
          <w:tcPr>
            <w:tcW w:type="dxa" w:w="2196"/>
          </w:tcPr>
          <w:p>
            <w:r/>
            <w:r>
              <w:t>Secure defaults, preconditions</w:t>
            </w:r>
          </w:p>
        </w:tc>
        <w:tc>
          <w:tcPr>
            <w:tcW w:type="dxa" w:w="2196"/>
          </w:tcPr>
          <w:p>
            <w:r/>
            <w:r>
              <w:t>Add user node pool support</w:t>
            </w:r>
          </w:p>
        </w:tc>
      </w:tr>
      <w:tr>
        <w:tc>
          <w:tcPr>
            <w:tcW w:type="dxa" w:w="2196"/>
            <w:shd w:val="clear" w:color="auto" w:fill="EBF3FB"/>
          </w:tcPr>
          <w:p>
            <w:r/>
            <w:r>
              <w:rPr>
                <w:b/>
              </w:rPr>
              <w:t>apim</w:t>
            </w:r>
          </w:p>
        </w:tc>
        <w:tc>
          <w:tcPr>
            <w:tcW w:type="dxa" w:w="2196"/>
            <w:shd w:val="clear" w:color="auto" w:fill="EBF3FB"/>
          </w:tcPr>
          <w:p>
            <w:r/>
            <w:r>
              <w:t>ADJUST</w:t>
            </w:r>
          </w:p>
        </w:tc>
        <w:tc>
          <w:tcPr>
            <w:tcW w:type="dxa" w:w="2196"/>
            <w:shd w:val="clear" w:color="auto" w:fill="EBF3FB"/>
          </w:tcPr>
          <w:p>
            <w:r/>
            <w:r>
              <w:t>file() breaks HCP remote runs</w:t>
            </w:r>
          </w:p>
        </w:tc>
        <w:tc>
          <w:tcPr>
            <w:tcW w:type="dxa" w:w="2196"/>
            <w:shd w:val="clear" w:color="auto" w:fill="EBF3FB"/>
          </w:tcPr>
          <w:p>
            <w:r/>
            <w:r>
              <w:t>Switch to base64/URL import</w:t>
            </w:r>
          </w:p>
        </w:tc>
      </w:tr>
      <w:tr>
        <w:tc>
          <w:tcPr>
            <w:tcW w:type="dxa" w:w="2196"/>
          </w:tcPr>
          <w:p>
            <w:r/>
            <w:r>
              <w:rPr>
                <w:b/>
              </w:rPr>
              <w:t>function_app</w:t>
            </w:r>
          </w:p>
        </w:tc>
        <w:tc>
          <w:tcPr>
            <w:tcW w:type="dxa" w:w="2196"/>
          </w:tcPr>
          <w:p>
            <w:r/>
            <w:r>
              <w:t>REWRITE</w:t>
            </w:r>
          </w:p>
        </w:tc>
        <w:tc>
          <w:tcPr>
            <w:tcW w:type="dxa" w:w="2196"/>
          </w:tcPr>
          <w:p>
            <w:r/>
            <w:r>
              <w:t>Linux+Python only, bundled plan</w:t>
            </w:r>
          </w:p>
        </w:tc>
        <w:tc>
          <w:tcPr>
            <w:tcW w:type="dxa" w:w="2196"/>
          </w:tcPr>
          <w:p>
            <w:r/>
            <w:r>
              <w:t>Multi-OS, multi-runtime, split plan</w:t>
            </w:r>
          </w:p>
        </w:tc>
      </w:tr>
      <w:tr>
        <w:tc>
          <w:tcPr>
            <w:tcW w:type="dxa" w:w="2196"/>
            <w:shd w:val="clear" w:color="auto" w:fill="EBF3FB"/>
          </w:tcPr>
          <w:p>
            <w:r/>
            <w:r>
              <w:rPr>
                <w:b/>
              </w:rPr>
              <w:t>keyvault</w:t>
            </w:r>
          </w:p>
        </w:tc>
        <w:tc>
          <w:tcPr>
            <w:tcW w:type="dxa" w:w="2196"/>
            <w:shd w:val="clear" w:color="auto" w:fill="EBF3FB"/>
          </w:tcPr>
          <w:p>
            <w:r/>
            <w:r>
              <w:t>KEEP</w:t>
            </w:r>
          </w:p>
        </w:tc>
        <w:tc>
          <w:tcPr>
            <w:tcW w:type="dxa" w:w="2196"/>
            <w:shd w:val="clear" w:color="auto" w:fill="EBF3FB"/>
          </w:tcPr>
          <w:p>
            <w:r/>
            <w:r>
              <w:t>Secure defaults, RBAC-first</w:t>
            </w:r>
          </w:p>
        </w:tc>
        <w:tc>
          <w:tcPr>
            <w:tcW w:type="dxa" w:w="2196"/>
            <w:shd w:val="clear" w:color="auto" w:fill="EBF3FB"/>
          </w:tcPr>
          <w:p>
            <w:r/>
            <w:r>
              <w:t>Add diagnostic block</w:t>
            </w:r>
          </w:p>
        </w:tc>
      </w:tr>
      <w:tr>
        <w:tc>
          <w:tcPr>
            <w:tcW w:type="dxa" w:w="2196"/>
          </w:tcPr>
          <w:p>
            <w:r/>
            <w:r>
              <w:rPr>
                <w:b/>
              </w:rPr>
              <w:t>keyvault-key</w:t>
            </w:r>
          </w:p>
        </w:tc>
        <w:tc>
          <w:tcPr>
            <w:tcW w:type="dxa" w:w="2196"/>
          </w:tcPr>
          <w:p>
            <w:r/>
            <w:r>
              <w:t>KEEP</w:t>
            </w:r>
          </w:p>
        </w:tc>
        <w:tc>
          <w:tcPr>
            <w:tcW w:type="dxa" w:w="2196"/>
          </w:tcPr>
          <w:p>
            <w:r/>
            <w:r>
              <w:t>Clean CMK abstraction</w:t>
            </w:r>
          </w:p>
        </w:tc>
        <w:tc>
          <w:tcPr>
            <w:tcW w:type="dxa" w:w="2196"/>
          </w:tcPr>
          <w:p>
            <w:r/>
            <w:r>
              <w:t>Add rotation policy</w:t>
            </w:r>
          </w:p>
        </w:tc>
      </w:tr>
      <w:tr>
        <w:tc>
          <w:tcPr>
            <w:tcW w:type="dxa" w:w="2196"/>
            <w:shd w:val="clear" w:color="auto" w:fill="EBF3FB"/>
          </w:tcPr>
          <w:p>
            <w:r/>
            <w:r>
              <w:rPr>
                <w:b/>
              </w:rPr>
              <w:t>storage</w:t>
            </w:r>
          </w:p>
        </w:tc>
        <w:tc>
          <w:tcPr>
            <w:tcW w:type="dxa" w:w="2196"/>
            <w:shd w:val="clear" w:color="auto" w:fill="EBF3FB"/>
          </w:tcPr>
          <w:p>
            <w:r/>
            <w:r>
              <w:t>ADJUST</w:t>
            </w:r>
          </w:p>
        </w:tc>
        <w:tc>
          <w:tcPr>
            <w:tcW w:type="dxa" w:w="2196"/>
            <w:shd w:val="clear" w:color="auto" w:fill="EBF3FB"/>
          </w:tcPr>
          <w:p>
            <w:r/>
            <w:r>
              <w:t>azapi mixed provider, shared_key default on</w:t>
            </w:r>
          </w:p>
        </w:tc>
        <w:tc>
          <w:tcPr>
            <w:tcW w:type="dxa" w:w="2196"/>
            <w:shd w:val="clear" w:color="auto" w:fill="EBF3FB"/>
          </w:tcPr>
          <w:p>
            <w:r/>
            <w:r>
              <w:t>Document azapi dep, default off</w:t>
            </w:r>
          </w:p>
        </w:tc>
      </w:tr>
      <w:tr>
        <w:tc>
          <w:tcPr>
            <w:tcW w:type="dxa" w:w="2196"/>
          </w:tcPr>
          <w:p>
            <w:r/>
            <w:r>
              <w:rPr>
                <w:b/>
              </w:rPr>
              <w:t>sql-database</w:t>
            </w:r>
          </w:p>
        </w:tc>
        <w:tc>
          <w:tcPr>
            <w:tcW w:type="dxa" w:w="2196"/>
          </w:tcPr>
          <w:p>
            <w:r/>
            <w:r>
              <w:t>ADJUST</w:t>
            </w:r>
          </w:p>
        </w:tc>
        <w:tc>
          <w:tcPr>
            <w:tcW w:type="dxa" w:w="2196"/>
          </w:tcPr>
          <w:p>
            <w:r/>
            <w:r>
              <w:t>databases = map(any), no schema</w:t>
            </w:r>
          </w:p>
        </w:tc>
        <w:tc>
          <w:tcPr>
            <w:tcW w:type="dxa" w:w="2196"/>
          </w:tcPr>
          <w:p>
            <w:r/>
            <w:r>
              <w:t>Typed object, add Transparent DE flag</w:t>
            </w:r>
          </w:p>
        </w:tc>
      </w:tr>
      <w:tr>
        <w:tc>
          <w:tcPr>
            <w:tcW w:type="dxa" w:w="2196"/>
            <w:shd w:val="clear" w:color="auto" w:fill="EBF3FB"/>
          </w:tcPr>
          <w:p>
            <w:r/>
            <w:r>
              <w:rPr>
                <w:b/>
              </w:rPr>
              <w:t>cosmosdb</w:t>
            </w:r>
          </w:p>
        </w:tc>
        <w:tc>
          <w:tcPr>
            <w:tcW w:type="dxa" w:w="2196"/>
            <w:shd w:val="clear" w:color="auto" w:fill="EBF3FB"/>
          </w:tcPr>
          <w:p>
            <w:r/>
            <w:r>
              <w:t>ADJUST</w:t>
            </w:r>
          </w:p>
        </w:tc>
        <w:tc>
          <w:tcPr>
            <w:tcW w:type="dxa" w:w="2196"/>
            <w:shd w:val="clear" w:color="auto" w:fill="EBF3FB"/>
          </w:tcPr>
          <w:p>
            <w:r/>
            <w:r>
              <w:t>is_virtual_network_filter false default</w:t>
            </w:r>
          </w:p>
        </w:tc>
        <w:tc>
          <w:tcPr>
            <w:tcW w:type="dxa" w:w="2196"/>
            <w:shd w:val="clear" w:color="auto" w:fill="EBF3FB"/>
          </w:tcPr>
          <w:p>
            <w:r/>
            <w:r>
              <w:t>Default true when private</w:t>
            </w:r>
          </w:p>
        </w:tc>
      </w:tr>
      <w:tr>
        <w:tc>
          <w:tcPr>
            <w:tcW w:type="dxa" w:w="2196"/>
          </w:tcPr>
          <w:p>
            <w:r/>
            <w:r>
              <w:rPr>
                <w:b/>
              </w:rPr>
              <w:t>service-bus</w:t>
            </w:r>
          </w:p>
        </w:tc>
        <w:tc>
          <w:tcPr>
            <w:tcW w:type="dxa" w:w="2196"/>
          </w:tcPr>
          <w:p>
            <w:r/>
            <w:r>
              <w:t>KEEP</w:t>
            </w:r>
          </w:p>
        </w:tc>
        <w:tc>
          <w:tcPr>
            <w:tcW w:type="dxa" w:w="2196"/>
          </w:tcPr>
          <w:p>
            <w:r/>
            <w:r>
              <w:t>CMK + identity, queue/topic support</w:t>
            </w:r>
          </w:p>
        </w:tc>
        <w:tc>
          <w:tcPr>
            <w:tcW w:type="dxa" w:w="2196"/>
          </w:tcPr>
          <w:p>
            <w:r/>
            <w:r>
              <w:t>Add geo-redundancy option</w:t>
            </w:r>
          </w:p>
        </w:tc>
      </w:tr>
      <w:tr>
        <w:tc>
          <w:tcPr>
            <w:tcW w:type="dxa" w:w="2196"/>
            <w:shd w:val="clear" w:color="auto" w:fill="EBF3FB"/>
          </w:tcPr>
          <w:p>
            <w:r/>
            <w:r>
              <w:rPr>
                <w:b/>
              </w:rPr>
              <w:t>postgresql-flexible-server</w:t>
            </w:r>
          </w:p>
        </w:tc>
        <w:tc>
          <w:tcPr>
            <w:tcW w:type="dxa" w:w="2196"/>
            <w:shd w:val="clear" w:color="auto" w:fill="EBF3FB"/>
          </w:tcPr>
          <w:p>
            <w:r/>
            <w:r>
              <w:t>ADJUST</w:t>
            </w:r>
          </w:p>
        </w:tc>
        <w:tc>
          <w:tcPr>
            <w:tcW w:type="dxa" w:w="2196"/>
            <w:shd w:val="clear" w:color="auto" w:fill="EBF3FB"/>
          </w:tcPr>
          <w:p>
            <w:r/>
            <w:r>
              <w:t>Missing zone, CMK, maintenance window</w:t>
            </w:r>
          </w:p>
        </w:tc>
        <w:tc>
          <w:tcPr>
            <w:tcW w:type="dxa" w:w="2196"/>
            <w:shd w:val="clear" w:color="auto" w:fill="EBF3FB"/>
          </w:tcPr>
          <w:p>
            <w:r/>
            <w:r>
              <w:t>Add missing attributes</w:t>
            </w:r>
          </w:p>
        </w:tc>
      </w:tr>
      <w:tr>
        <w:tc>
          <w:tcPr>
            <w:tcW w:type="dxa" w:w="2196"/>
          </w:tcPr>
          <w:p>
            <w:r/>
            <w:r>
              <w:rPr>
                <w:b/>
              </w:rPr>
              <w:t>redis-cache</w:t>
            </w:r>
          </w:p>
        </w:tc>
        <w:tc>
          <w:tcPr>
            <w:tcW w:type="dxa" w:w="2196"/>
          </w:tcPr>
          <w:p>
            <w:r/>
            <w:r>
              <w:t>ADJUST</w:t>
            </w:r>
          </w:p>
        </w:tc>
        <w:tc>
          <w:tcPr>
            <w:tcW w:type="dxa" w:w="2196"/>
          </w:tcPr>
          <w:p>
            <w:r/>
            <w:r>
              <w:t>Missing TLS min version variable</w:t>
            </w:r>
          </w:p>
        </w:tc>
        <w:tc>
          <w:tcPr>
            <w:tcW w:type="dxa" w:w="2196"/>
          </w:tcPr>
          <w:p>
            <w:r/>
            <w:r>
              <w:t>Expose min TLS, add patch schedule</w:t>
            </w:r>
          </w:p>
        </w:tc>
      </w:tr>
      <w:tr>
        <w:tc>
          <w:tcPr>
            <w:tcW w:type="dxa" w:w="2196"/>
            <w:shd w:val="clear" w:color="auto" w:fill="EBF3FB"/>
          </w:tcPr>
          <w:p>
            <w:r/>
            <w:r>
              <w:rPr>
                <w:b/>
              </w:rPr>
              <w:t>app-configuration</w:t>
            </w:r>
          </w:p>
        </w:tc>
        <w:tc>
          <w:tcPr>
            <w:tcW w:type="dxa" w:w="2196"/>
            <w:shd w:val="clear" w:color="auto" w:fill="EBF3FB"/>
          </w:tcPr>
          <w:p>
            <w:r/>
            <w:r>
              <w:t>KEEP</w:t>
            </w:r>
          </w:p>
        </w:tc>
        <w:tc>
          <w:tcPr>
            <w:tcW w:type="dxa" w:w="2196"/>
            <w:shd w:val="clear" w:color="auto" w:fill="EBF3FB"/>
          </w:tcPr>
          <w:p>
            <w:r/>
            <w:r>
              <w:t>CMK + identity, purge protection</w:t>
            </w:r>
          </w:p>
        </w:tc>
        <w:tc>
          <w:tcPr>
            <w:tcW w:type="dxa" w:w="2196"/>
            <w:shd w:val="clear" w:color="auto" w:fill="EBF3FB"/>
          </w:tcPr>
          <w:p>
            <w:r/>
            <w:r>
              <w:t>Add replica block</w:t>
            </w:r>
          </w:p>
        </w:tc>
      </w:tr>
      <w:tr>
        <w:tc>
          <w:tcPr>
            <w:tcW w:type="dxa" w:w="2196"/>
          </w:tcPr>
          <w:p>
            <w:r/>
            <w:r>
              <w:rPr>
                <w:b/>
              </w:rPr>
              <w:t>container_registry</w:t>
            </w:r>
          </w:p>
        </w:tc>
        <w:tc>
          <w:tcPr>
            <w:tcW w:type="dxa" w:w="2196"/>
          </w:tcPr>
          <w:p>
            <w:r/>
            <w:r>
              <w:t>ADJUST</w:t>
            </w:r>
          </w:p>
        </w:tc>
        <w:tc>
          <w:tcPr>
            <w:tcW w:type="dxa" w:w="2196"/>
          </w:tcPr>
          <w:p>
            <w:r/>
            <w:r>
              <w:t>Trust policy deprecated</w:t>
            </w:r>
          </w:p>
        </w:tc>
        <w:tc>
          <w:tcPr>
            <w:tcW w:type="dxa" w:w="2196"/>
          </w:tcPr>
          <w:p>
            <w:r/>
            <w:r>
              <w:t>Remove trust_policy, add quarantine</w:t>
            </w:r>
          </w:p>
        </w:tc>
      </w:tr>
      <w:tr>
        <w:tc>
          <w:tcPr>
            <w:tcW w:type="dxa" w:w="2196"/>
            <w:shd w:val="clear" w:color="auto" w:fill="EBF3FB"/>
          </w:tcPr>
          <w:p>
            <w:r/>
            <w:r>
              <w:rPr>
                <w:b/>
              </w:rPr>
              <w:t>log-analytics / observability</w:t>
            </w:r>
          </w:p>
        </w:tc>
        <w:tc>
          <w:tcPr>
            <w:tcW w:type="dxa" w:w="2196"/>
            <w:shd w:val="clear" w:color="auto" w:fill="EBF3FB"/>
          </w:tcPr>
          <w:p>
            <w:r/>
            <w:r>
              <w:t>ADJUST</w:t>
            </w:r>
          </w:p>
        </w:tc>
        <w:tc>
          <w:tcPr>
            <w:tcW w:type="dxa" w:w="2196"/>
            <w:shd w:val="clear" w:color="auto" w:fill="EBF3FB"/>
          </w:tcPr>
          <w:p>
            <w:r/>
            <w:r>
              <w:t>Duplicate modules for same purpose</w:t>
            </w:r>
          </w:p>
        </w:tc>
        <w:tc>
          <w:tcPr>
            <w:tcW w:type="dxa" w:w="2196"/>
            <w:shd w:val="clear" w:color="auto" w:fill="EBF3FB"/>
          </w:tcPr>
          <w:p>
            <w:r/>
            <w:r>
              <w:t>Consolidate into one module</w:t>
            </w:r>
          </w:p>
        </w:tc>
      </w:tr>
      <w:tr>
        <w:tc>
          <w:tcPr>
            <w:tcW w:type="dxa" w:w="2196"/>
          </w:tcPr>
          <w:p>
            <w:r/>
            <w:r>
              <w:rPr>
                <w:b/>
              </w:rPr>
              <w:t>monitoring-baseline</w:t>
            </w:r>
          </w:p>
        </w:tc>
        <w:tc>
          <w:tcPr>
            <w:tcW w:type="dxa" w:w="2196"/>
          </w:tcPr>
          <w:p>
            <w:r/>
            <w:r>
              <w:t>KEEP</w:t>
            </w:r>
          </w:p>
        </w:tc>
        <w:tc>
          <w:tcPr>
            <w:tcW w:type="dxa" w:w="2196"/>
          </w:tcPr>
          <w:p>
            <w:r/>
            <w:r>
              <w:t>Clean activity-log baseline</w:t>
            </w:r>
          </w:p>
        </w:tc>
        <w:tc>
          <w:tcPr>
            <w:tcW w:type="dxa" w:w="2196"/>
          </w:tcPr>
          <w:p>
            <w:r/>
            <w:r>
              <w:t>Add categories variable</w:t>
            </w:r>
          </w:p>
        </w:tc>
      </w:tr>
      <w:tr>
        <w:tc>
          <w:tcPr>
            <w:tcW w:type="dxa" w:w="2196"/>
            <w:shd w:val="clear" w:color="auto" w:fill="EBF3FB"/>
          </w:tcPr>
          <w:p>
            <w:r/>
            <w:r>
              <w:rPr>
                <w:b/>
              </w:rPr>
              <w:t>diagnostics-1</w:t>
            </w:r>
          </w:p>
        </w:tc>
        <w:tc>
          <w:tcPr>
            <w:tcW w:type="dxa" w:w="2196"/>
            <w:shd w:val="clear" w:color="auto" w:fill="EBF3FB"/>
          </w:tcPr>
          <w:p>
            <w:r/>
            <w:r>
              <w:t>ADJUST</w:t>
            </w:r>
          </w:p>
        </w:tc>
        <w:tc>
          <w:tcPr>
            <w:tcW w:type="dxa" w:w="2196"/>
            <w:shd w:val="clear" w:color="auto" w:fill="EBF3FB"/>
          </w:tcPr>
          <w:p>
            <w:r/>
            <w:r>
              <w:t>No outputs.tf file</w:t>
            </w:r>
          </w:p>
        </w:tc>
        <w:tc>
          <w:tcPr>
            <w:tcW w:type="dxa" w:w="2196"/>
            <w:shd w:val="clear" w:color="auto" w:fill="EBF3FB"/>
          </w:tcPr>
          <w:p>
            <w:r/>
            <w:r>
              <w:t>Add outputs, rename to diagnostics</w:t>
            </w:r>
          </w:p>
        </w:tc>
      </w:tr>
      <w:tr>
        <w:tc>
          <w:tcPr>
            <w:tcW w:type="dxa" w:w="2196"/>
          </w:tcPr>
          <w:p>
            <w:r/>
            <w:r>
              <w:rPr>
                <w:b/>
              </w:rPr>
              <w:t>private-endpoint</w:t>
            </w:r>
          </w:p>
        </w:tc>
        <w:tc>
          <w:tcPr>
            <w:tcW w:type="dxa" w:w="2196"/>
          </w:tcPr>
          <w:p>
            <w:r/>
            <w:r>
              <w:t>ADJUST</w:t>
            </w:r>
          </w:p>
        </w:tc>
        <w:tc>
          <w:tcPr>
            <w:tcW w:type="dxa" w:w="2196"/>
          </w:tcPr>
          <w:p>
            <w:r/>
            <w:r>
              <w:t>No outputs.tf file</w:t>
            </w:r>
          </w:p>
        </w:tc>
        <w:tc>
          <w:tcPr>
            <w:tcW w:type="dxa" w:w="2196"/>
          </w:tcPr>
          <w:p>
            <w:r/>
            <w:r>
              <w:t>Add endpoint NIC ID output</w:t>
            </w:r>
          </w:p>
        </w:tc>
      </w:tr>
      <w:tr>
        <w:tc>
          <w:tcPr>
            <w:tcW w:type="dxa" w:w="2196"/>
            <w:shd w:val="clear" w:color="auto" w:fill="EBF3FB"/>
          </w:tcPr>
          <w:p>
            <w:r/>
            <w:r>
              <w:rPr>
                <w:b/>
              </w:rPr>
              <w:t>private-dns</w:t>
            </w:r>
          </w:p>
        </w:tc>
        <w:tc>
          <w:tcPr>
            <w:tcW w:type="dxa" w:w="2196"/>
            <w:shd w:val="clear" w:color="auto" w:fill="EBF3FB"/>
          </w:tcPr>
          <w:p>
            <w:r/>
            <w:r>
              <w:t>KEEP</w:t>
            </w:r>
          </w:p>
        </w:tc>
        <w:tc>
          <w:tcPr>
            <w:tcW w:type="dxa" w:w="2196"/>
            <w:shd w:val="clear" w:color="auto" w:fill="EBF3FB"/>
          </w:tcPr>
          <w:p>
            <w:r/>
            <w:r>
              <w:t>Clean zone+link pattern</w:t>
            </w:r>
          </w:p>
        </w:tc>
        <w:tc>
          <w:tcPr>
            <w:tcW w:type="dxa" w:w="2196"/>
            <w:shd w:val="clear" w:color="auto" w:fill="EBF3FB"/>
          </w:tcPr>
          <w:p>
            <w:r/>
            <w:r>
              <w:t>Add A-record support</w:t>
            </w:r>
          </w:p>
        </w:tc>
      </w:tr>
      <w:tr>
        <w:tc>
          <w:tcPr>
            <w:tcW w:type="dxa" w:w="2196"/>
          </w:tcPr>
          <w:p>
            <w:r/>
            <w:r>
              <w:rPr>
                <w:b/>
              </w:rPr>
              <w:t>naming</w:t>
            </w:r>
          </w:p>
        </w:tc>
        <w:tc>
          <w:tcPr>
            <w:tcW w:type="dxa" w:w="2196"/>
          </w:tcPr>
          <w:p>
            <w:r/>
            <w:r>
              <w:t>REWRITE</w:t>
            </w:r>
          </w:p>
        </w:tc>
        <w:tc>
          <w:tcPr>
            <w:tcW w:type="dxa" w:w="2196"/>
          </w:tcPr>
          <w:p>
            <w:r/>
            <w:r>
              <w:t>random_string causes drift, partial coverage</w:t>
            </w:r>
          </w:p>
        </w:tc>
        <w:tc>
          <w:tcPr>
            <w:tcW w:type="dxa" w:w="2196"/>
          </w:tcPr>
          <w:p>
            <w:r/>
            <w:r>
              <w:t>Use keepers, expand names</w:t>
            </w:r>
          </w:p>
        </w:tc>
      </w:tr>
      <w:tr>
        <w:tc>
          <w:tcPr>
            <w:tcW w:type="dxa" w:w="2196"/>
            <w:shd w:val="clear" w:color="auto" w:fill="EBF3FB"/>
          </w:tcPr>
          <w:p>
            <w:r/>
            <w:r>
              <w:rPr>
                <w:b/>
              </w:rPr>
              <w:t>platform-tags</w:t>
            </w:r>
          </w:p>
        </w:tc>
        <w:tc>
          <w:tcPr>
            <w:tcW w:type="dxa" w:w="2196"/>
            <w:shd w:val="clear" w:color="auto" w:fill="EBF3FB"/>
          </w:tcPr>
          <w:p>
            <w:r/>
            <w:r>
              <w:t>KEEP</w:t>
            </w:r>
          </w:p>
        </w:tc>
        <w:tc>
          <w:tcPr>
            <w:tcW w:type="dxa" w:w="2196"/>
            <w:shd w:val="clear" w:color="auto" w:fill="EBF3FB"/>
          </w:tcPr>
          <w:p>
            <w:r/>
            <w:r>
              <w:t>Comprehensive enterprise tagging</w:t>
            </w:r>
          </w:p>
        </w:tc>
        <w:tc>
          <w:tcPr>
            <w:tcW w:type="dxa" w:w="2196"/>
            <w:shd w:val="clear" w:color="auto" w:fill="EBF3FB"/>
          </w:tcPr>
          <w:p>
            <w:r/>
            <w:r>
              <w:t>Move outputs to outputs.tf</w:t>
            </w:r>
          </w:p>
        </w:tc>
      </w:tr>
      <w:tr>
        <w:tc>
          <w:tcPr>
            <w:tcW w:type="dxa" w:w="2196"/>
          </w:tcPr>
          <w:p>
            <w:r/>
            <w:r>
              <w:rPr>
                <w:b/>
              </w:rPr>
              <w:t>management_groups</w:t>
            </w:r>
          </w:p>
        </w:tc>
        <w:tc>
          <w:tcPr>
            <w:tcW w:type="dxa" w:w="2196"/>
          </w:tcPr>
          <w:p>
            <w:r/>
            <w:r>
              <w:t>ADJUST</w:t>
            </w:r>
          </w:p>
        </w:tc>
        <w:tc>
          <w:tcPr>
            <w:tcW w:type="dxa" w:w="2196"/>
          </w:tcPr>
          <w:p>
            <w:r/>
            <w:r>
              <w:t>Hardcoded hierarchy</w:t>
            </w:r>
          </w:p>
        </w:tc>
        <w:tc>
          <w:tcPr>
            <w:tcW w:type="dxa" w:w="2196"/>
          </w:tcPr>
          <w:p>
            <w:r/>
            <w:r>
              <w:t>Add configurable child groups</w:t>
            </w:r>
          </w:p>
        </w:tc>
      </w:tr>
      <w:tr>
        <w:tc>
          <w:tcPr>
            <w:tcW w:type="dxa" w:w="2196"/>
            <w:shd w:val="clear" w:color="auto" w:fill="EBF3FB"/>
          </w:tcPr>
          <w:p>
            <w:r/>
            <w:r>
              <w:rPr>
                <w:b/>
              </w:rPr>
              <w:t>role-assignments</w:t>
            </w:r>
          </w:p>
        </w:tc>
        <w:tc>
          <w:tcPr>
            <w:tcW w:type="dxa" w:w="2196"/>
            <w:shd w:val="clear" w:color="auto" w:fill="EBF3FB"/>
          </w:tcPr>
          <w:p>
            <w:r/>
            <w:r>
              <w:t>KEEP</w:t>
            </w:r>
          </w:p>
        </w:tc>
        <w:tc>
          <w:tcPr>
            <w:tcW w:type="dxa" w:w="2196"/>
            <w:shd w:val="clear" w:color="auto" w:fill="EBF3FB"/>
          </w:tcPr>
          <w:p>
            <w:r/>
            <w:r>
              <w:t>ABAC conditions, flexible map</w:t>
            </w:r>
          </w:p>
        </w:tc>
        <w:tc>
          <w:tcPr>
            <w:tcW w:type="dxa" w:w="2196"/>
            <w:shd w:val="clear" w:color="auto" w:fill="EBF3FB"/>
          </w:tcPr>
          <w:p>
            <w:r/>
            <w:r>
              <w:t>Minor</w:t>
            </w:r>
          </w:p>
        </w:tc>
      </w:tr>
      <w:tr>
        <w:tc>
          <w:tcPr>
            <w:tcW w:type="dxa" w:w="2196"/>
          </w:tcPr>
          <w:p>
            <w:r/>
            <w:r>
              <w:rPr>
                <w:b/>
              </w:rPr>
              <w:t>policy_assignment</w:t>
            </w:r>
          </w:p>
        </w:tc>
        <w:tc>
          <w:tcPr>
            <w:tcW w:type="dxa" w:w="2196"/>
          </w:tcPr>
          <w:p>
            <w:r/>
            <w:r>
              <w:t>ADJUST</w:t>
            </w:r>
          </w:p>
        </w:tc>
        <w:tc>
          <w:tcPr>
            <w:tcW w:type="dxa" w:w="2196"/>
          </w:tcPr>
          <w:p>
            <w:r/>
            <w:r>
              <w:t>Only RG scope</w:t>
            </w:r>
          </w:p>
        </w:tc>
        <w:tc>
          <w:tcPr>
            <w:tcW w:type="dxa" w:w="2196"/>
          </w:tcPr>
          <w:p>
            <w:r/>
            <w:r>
              <w:t>Add MG and subscription scope</w:t>
            </w:r>
          </w:p>
        </w:tc>
      </w:tr>
      <w:tr>
        <w:tc>
          <w:tcPr>
            <w:tcW w:type="dxa" w:w="2196"/>
            <w:shd w:val="clear" w:color="auto" w:fill="EBF3FB"/>
          </w:tcPr>
          <w:p>
            <w:r/>
            <w:r>
              <w:rPr>
                <w:b/>
              </w:rPr>
              <w:t>action-group</w:t>
            </w:r>
          </w:p>
        </w:tc>
        <w:tc>
          <w:tcPr>
            <w:tcW w:type="dxa" w:w="2196"/>
            <w:shd w:val="clear" w:color="auto" w:fill="EBF3FB"/>
          </w:tcPr>
          <w:p>
            <w:r/>
            <w:r>
              <w:t>ADJUST</w:t>
            </w:r>
          </w:p>
        </w:tc>
        <w:tc>
          <w:tcPr>
            <w:tcW w:type="dxa" w:w="2196"/>
            <w:shd w:val="clear" w:color="auto" w:fill="EBF3FB"/>
          </w:tcPr>
          <w:p>
            <w:r/>
            <w:r>
              <w:t>Email-only receivers</w:t>
            </w:r>
          </w:p>
        </w:tc>
        <w:tc>
          <w:tcPr>
            <w:tcW w:type="dxa" w:w="2196"/>
            <w:shd w:val="clear" w:color="auto" w:fill="EBF3FB"/>
          </w:tcPr>
          <w:p>
            <w:r/>
            <w:r>
              <w:t>Add webhook, SMS, ITSM receivers</w:t>
            </w:r>
          </w:p>
        </w:tc>
      </w:tr>
      <w:tr>
        <w:tc>
          <w:tcPr>
            <w:tcW w:type="dxa" w:w="2196"/>
          </w:tcPr>
          <w:p>
            <w:r/>
            <w:r>
              <w:rPr>
                <w:b/>
              </w:rPr>
              <w:t>load_balancer</w:t>
            </w:r>
          </w:p>
        </w:tc>
        <w:tc>
          <w:tcPr>
            <w:tcW w:type="dxa" w:w="2196"/>
          </w:tcPr>
          <w:p>
            <w:r/>
            <w:r>
              <w:t>ADJUST</w:t>
            </w:r>
          </w:p>
        </w:tc>
        <w:tc>
          <w:tcPr>
            <w:tcW w:type="dxa" w:w="2196"/>
          </w:tcPr>
          <w:p>
            <w:r/>
            <w:r>
              <w:t>No frontend IP config, no rules</w:t>
            </w:r>
          </w:p>
        </w:tc>
        <w:tc>
          <w:tcPr>
            <w:tcW w:type="dxa" w:w="2196"/>
          </w:tcPr>
          <w:p>
            <w:r/>
            <w:r>
              <w:t>Expose LB rules, probes</w:t>
            </w:r>
          </w:p>
        </w:tc>
      </w:tr>
      <w:tr>
        <w:tc>
          <w:tcPr>
            <w:tcW w:type="dxa" w:w="2196"/>
            <w:shd w:val="clear" w:color="auto" w:fill="EBF3FB"/>
          </w:tcPr>
          <w:p>
            <w:r/>
            <w:r>
              <w:rPr>
                <w:b/>
              </w:rPr>
              <w:t>application-gateway</w:t>
            </w:r>
          </w:p>
        </w:tc>
        <w:tc>
          <w:tcPr>
            <w:tcW w:type="dxa" w:w="2196"/>
            <w:shd w:val="clear" w:color="auto" w:fill="EBF3FB"/>
          </w:tcPr>
          <w:p>
            <w:r/>
            <w:r>
              <w:t>KEEP</w:t>
            </w:r>
          </w:p>
        </w:tc>
        <w:tc>
          <w:tcPr>
            <w:tcW w:type="dxa" w:w="2196"/>
            <w:shd w:val="clear" w:color="auto" w:fill="EBF3FB"/>
          </w:tcPr>
          <w:p>
            <w:r/>
            <w:r>
              <w:t>WAF, routing rules, SSL policy</w:t>
            </w:r>
          </w:p>
        </w:tc>
        <w:tc>
          <w:tcPr>
            <w:tcW w:type="dxa" w:w="2196"/>
            <w:shd w:val="clear" w:color="auto" w:fill="EBF3FB"/>
          </w:tcPr>
          <w:p>
            <w:r/>
            <w:r>
              <w:t>Add autoscaling variable</w:t>
            </w:r>
          </w:p>
        </w:tc>
      </w:tr>
      <w:tr>
        <w:tc>
          <w:tcPr>
            <w:tcW w:type="dxa" w:w="2196"/>
          </w:tcPr>
          <w:p>
            <w:r/>
            <w:r>
              <w:rPr>
                <w:b/>
              </w:rPr>
              <w:t>bastion</w:t>
            </w:r>
          </w:p>
        </w:tc>
        <w:tc>
          <w:tcPr>
            <w:tcW w:type="dxa" w:w="2196"/>
          </w:tcPr>
          <w:p>
            <w:r/>
            <w:r>
              <w:t>KEEP</w:t>
            </w:r>
          </w:p>
        </w:tc>
        <w:tc>
          <w:tcPr>
            <w:tcW w:type="dxa" w:w="2196"/>
          </w:tcPr>
          <w:p>
            <w:r/>
            <w:r>
              <w:t>All SKU options, feature flags</w:t>
            </w:r>
          </w:p>
        </w:tc>
        <w:tc>
          <w:tcPr>
            <w:tcW w:type="dxa" w:w="2196"/>
          </w:tcPr>
          <w:p>
            <w:r/>
            <w:r/>
          </w:p>
        </w:tc>
      </w:tr>
      <w:tr>
        <w:tc>
          <w:tcPr>
            <w:tcW w:type="dxa" w:w="2196"/>
            <w:shd w:val="clear" w:color="auto" w:fill="EBF3FB"/>
          </w:tcPr>
          <w:p>
            <w:r/>
            <w:r>
              <w:rPr>
                <w:b/>
              </w:rPr>
              <w:t>nat-gateway</w:t>
            </w:r>
          </w:p>
        </w:tc>
        <w:tc>
          <w:tcPr>
            <w:tcW w:type="dxa" w:w="2196"/>
            <w:shd w:val="clear" w:color="auto" w:fill="EBF3FB"/>
          </w:tcPr>
          <w:p>
            <w:r/>
            <w:r>
              <w:t>KEEP</w:t>
            </w:r>
          </w:p>
        </w:tc>
        <w:tc>
          <w:tcPr>
            <w:tcW w:type="dxa" w:w="2196"/>
            <w:shd w:val="clear" w:color="auto" w:fill="EBF3FB"/>
          </w:tcPr>
          <w:p>
            <w:r/>
            <w:r>
              <w:t>Public IP optional, subnet attach</w:t>
            </w:r>
          </w:p>
        </w:tc>
        <w:tc>
          <w:tcPr>
            <w:tcW w:type="dxa" w:w="2196"/>
            <w:shd w:val="clear" w:color="auto" w:fill="EBF3FB"/>
          </w:tcPr>
          <w:p>
            <w:r/>
            <w:r/>
          </w:p>
        </w:tc>
      </w:tr>
      <w:tr>
        <w:tc>
          <w:tcPr>
            <w:tcW w:type="dxa" w:w="2196"/>
          </w:tcPr>
          <w:p>
            <w:r/>
            <w:r>
              <w:rPr>
                <w:b/>
              </w:rPr>
              <w:t>vm_linux / vm_windows</w:t>
            </w:r>
          </w:p>
        </w:tc>
        <w:tc>
          <w:tcPr>
            <w:tcW w:type="dxa" w:w="2196"/>
          </w:tcPr>
          <w:p>
            <w:r/>
            <w:r>
              <w:t>ADJUST</w:t>
            </w:r>
          </w:p>
        </w:tc>
        <w:tc>
          <w:tcPr>
            <w:tcW w:type="dxa" w:w="2196"/>
          </w:tcPr>
          <w:p>
            <w:r/>
            <w:r>
              <w:t>Missing extensions, no AAD login</w:t>
            </w:r>
          </w:p>
        </w:tc>
        <w:tc>
          <w:tcPr>
            <w:tcW w:type="dxa" w:w="2196"/>
          </w:tcPr>
          <w:p>
            <w:r/>
            <w:r>
              <w:t>Add AAD, monitoring extensions</w:t>
            </w:r>
          </w:p>
        </w:tc>
      </w:tr>
      <w:tr>
        <w:tc>
          <w:tcPr>
            <w:tcW w:type="dxa" w:w="2196"/>
            <w:shd w:val="clear" w:color="auto" w:fill="EBF3FB"/>
          </w:tcPr>
          <w:p>
            <w:r/>
            <w:r>
              <w:rPr>
                <w:b/>
              </w:rPr>
              <w:t>recovery-services-vault</w:t>
            </w:r>
          </w:p>
        </w:tc>
        <w:tc>
          <w:tcPr>
            <w:tcW w:type="dxa" w:w="2196"/>
            <w:shd w:val="clear" w:color="auto" w:fill="EBF3FB"/>
          </w:tcPr>
          <w:p>
            <w:r/>
            <w:r>
              <w:t>ADJUST</w:t>
            </w:r>
          </w:p>
        </w:tc>
        <w:tc>
          <w:tcPr>
            <w:tcW w:type="dxa" w:w="2196"/>
            <w:shd w:val="clear" w:color="auto" w:fill="EBF3FB"/>
          </w:tcPr>
          <w:p>
            <w:r/>
            <w:r>
              <w:t>No backup policy configuration</w:t>
            </w:r>
          </w:p>
        </w:tc>
        <w:tc>
          <w:tcPr>
            <w:tcW w:type="dxa" w:w="2196"/>
            <w:shd w:val="clear" w:color="auto" w:fill="EBF3FB"/>
          </w:tcPr>
          <w:p>
            <w:r/>
            <w:r>
              <w:t>Add backup policy variables</w:t>
            </w:r>
          </w:p>
        </w:tc>
      </w:tr>
      <w:tr>
        <w:tc>
          <w:tcPr>
            <w:tcW w:type="dxa" w:w="2196"/>
          </w:tcPr>
          <w:p>
            <w:r/>
            <w:r>
              <w:rPr>
                <w:b/>
              </w:rPr>
              <w:t>user-assigned-identity</w:t>
            </w:r>
          </w:p>
        </w:tc>
        <w:tc>
          <w:tcPr>
            <w:tcW w:type="dxa" w:w="2196"/>
          </w:tcPr>
          <w:p>
            <w:r/>
            <w:r>
              <w:t>KEEP</w:t>
            </w:r>
          </w:p>
        </w:tc>
        <w:tc>
          <w:tcPr>
            <w:tcW w:type="dxa" w:w="2196"/>
          </w:tcPr>
          <w:p>
            <w:r/>
            <w:r>
              <w:t>Clean, complete outputs</w:t>
            </w:r>
          </w:p>
        </w:tc>
        <w:tc>
          <w:tcPr>
            <w:tcW w:type="dxa" w:w="2196"/>
          </w:tcPr>
          <w:p>
            <w:r/>
            <w:r/>
          </w:p>
        </w:tc>
      </w:tr>
      <w:tr>
        <w:tc>
          <w:tcPr>
            <w:tcW w:type="dxa" w:w="2196"/>
            <w:shd w:val="clear" w:color="auto" w:fill="EBF3FB"/>
          </w:tcPr>
          <w:p>
            <w:r/>
            <w:r>
              <w:rPr>
                <w:b/>
              </w:rPr>
              <w:t>public_ip</w:t>
            </w:r>
          </w:p>
        </w:tc>
        <w:tc>
          <w:tcPr>
            <w:tcW w:type="dxa" w:w="2196"/>
            <w:shd w:val="clear" w:color="auto" w:fill="EBF3FB"/>
          </w:tcPr>
          <w:p>
            <w:r/>
            <w:r>
              <w:t>KEEP</w:t>
            </w:r>
          </w:p>
        </w:tc>
        <w:tc>
          <w:tcPr>
            <w:tcW w:type="dxa" w:w="2196"/>
            <w:shd w:val="clear" w:color="auto" w:fill="EBF3FB"/>
          </w:tcPr>
          <w:p>
            <w:r/>
            <w:r>
              <w:t>Simple, clean</w:t>
            </w:r>
          </w:p>
        </w:tc>
        <w:tc>
          <w:tcPr>
            <w:tcW w:type="dxa" w:w="2196"/>
            <w:shd w:val="clear" w:color="auto" w:fill="EBF3FB"/>
          </w:tcPr>
          <w:p>
            <w:r/>
            <w:r>
              <w:t>Add zones variable</w:t>
            </w:r>
          </w:p>
        </w:tc>
      </w:tr>
      <w:tr>
        <w:tc>
          <w:tcPr>
            <w:tcW w:type="dxa" w:w="2196"/>
          </w:tcPr>
          <w:p>
            <w:r/>
            <w:r>
              <w:rPr>
                <w:b/>
              </w:rPr>
              <w:t>state-storage</w:t>
            </w:r>
          </w:p>
        </w:tc>
        <w:tc>
          <w:tcPr>
            <w:tcW w:type="dxa" w:w="2196"/>
          </w:tcPr>
          <w:p>
            <w:r/>
            <w:r>
              <w:t>KEEP</w:t>
            </w:r>
          </w:p>
        </w:tc>
        <w:tc>
          <w:tcPr>
            <w:tcW w:type="dxa" w:w="2196"/>
          </w:tcPr>
          <w:p>
            <w:r/>
            <w:r>
              <w:t>Full Terraform bootstrap</w:t>
            </w:r>
          </w:p>
        </w:tc>
        <w:tc>
          <w:tcPr>
            <w:tcW w:type="dxa" w:w="2196"/>
          </w:tcPr>
          <w:p>
            <w:r/>
            <w:r>
              <w:t>Add lifecycle lock</w:t>
            </w:r>
          </w:p>
        </w:tc>
      </w:tr>
      <w:tr>
        <w:tc>
          <w:tcPr>
            <w:tcW w:type="dxa" w:w="2196"/>
            <w:shd w:val="clear" w:color="auto" w:fill="EBF3FB"/>
          </w:tcPr>
          <w:p>
            <w:r/>
            <w:r>
              <w:rPr>
                <w:b/>
              </w:rPr>
              <w:t>azuredevops_repo</w:t>
            </w:r>
          </w:p>
        </w:tc>
        <w:tc>
          <w:tcPr>
            <w:tcW w:type="dxa" w:w="2196"/>
            <w:shd w:val="clear" w:color="auto" w:fill="EBF3FB"/>
          </w:tcPr>
          <w:p>
            <w:r/>
            <w:r>
              <w:t>ADJUST</w:t>
            </w:r>
          </w:p>
        </w:tc>
        <w:tc>
          <w:tcPr>
            <w:tcW w:type="dxa" w:w="2196"/>
            <w:shd w:val="clear" w:color="auto" w:fill="EBF3FB"/>
          </w:tcPr>
          <w:p>
            <w:r/>
            <w:r>
              <w:t>No pipeline variable groups</w:t>
            </w:r>
          </w:p>
        </w:tc>
        <w:tc>
          <w:tcPr>
            <w:tcW w:type="dxa" w:w="2196"/>
            <w:shd w:val="clear" w:color="auto" w:fill="EBF3FB"/>
          </w:tcPr>
          <w:p>
            <w:r/>
            <w:r>
              <w:t>Add variable group support</w:t>
            </w:r>
          </w:p>
        </w:tc>
      </w:tr>
      <w:tr>
        <w:tc>
          <w:tcPr>
            <w:tcW w:type="dxa" w:w="2196"/>
          </w:tcPr>
          <w:p>
            <w:r/>
            <w:r>
              <w:rPr>
                <w:b/>
              </w:rPr>
              <w:t>Global stacks</w:t>
            </w:r>
          </w:p>
        </w:tc>
        <w:tc>
          <w:tcPr>
            <w:tcW w:type="dxa" w:w="2196"/>
          </w:tcPr>
          <w:p>
            <w:r/>
            <w:r>
              <w:t>ADJUST</w:t>
            </w:r>
          </w:p>
        </w:tc>
        <w:tc>
          <w:tcPr>
            <w:tcW w:type="dxa" w:w="2196"/>
          </w:tcPr>
          <w:p>
            <w:r/>
            <w:r>
              <w:t>Hardcoded remote state defaults</w:t>
            </w:r>
          </w:p>
        </w:tc>
        <w:tc>
          <w:tcPr>
            <w:tcW w:type="dxa" w:w="2196"/>
          </w:tcPr>
          <w:p>
            <w:r/>
            <w:r>
              <w:t>Use workspace-agnostic variables</w:t>
            </w:r>
          </w:p>
        </w:tc>
      </w:tr>
    </w:tbl>
    <w:p>
      <w:r>
        <w:br w:type="page"/>
      </w:r>
    </w:p>
    <w:p>
      <w:pPr>
        <w:pStyle w:val="Heading1"/>
        <w:jc w:val="left"/>
      </w:pPr>
      <w:r>
        <w:t>2. Root Cause Analysis: Why Drift Is Happening</w:t>
      </w:r>
    </w:p>
    <w:p>
      <w:pPr>
        <w:pStyle w:val="Heading2"/>
        <w:jc w:val="left"/>
      </w:pPr>
      <w:r>
        <w:t>2.1 The Anti-Pattern: Per-Resource HCP Workspaces</w:t>
      </w:r>
    </w:p>
    <w:p>
      <w:r>
        <w:t>The HCP Terraform screenshots reveal the core structural issue. The client has created individual HCP workspaces per resource type — one workspace for storage accounts, another for event grid, another for VNet peering, another for function apps. Each of these workspaces:</w:t>
        <w:br/>
      </w:r>
    </w:p>
    <w:p>
      <w:pPr>
        <w:pStyle w:val="ListBullet"/>
      </w:pPr>
      <w:r>
        <w:t>Manages its own isolated state file with no awareness of sibling resources</w:t>
      </w:r>
    </w:p>
    <w:p>
      <w:pPr>
        <w:pStyle w:val="ListBullet"/>
      </w:pPr>
      <w:r>
        <w:t>Does not consume the shared module library — it either duplicates code or uses its own inline configuration</w:t>
      </w:r>
    </w:p>
    <w:p>
      <w:pPr>
        <w:pStyle w:val="ListBullet"/>
      </w:pPr>
      <w:r>
        <w:t>Has no enforced dependency ordering (e.g., VNet must exist before peering workspace runs)</w:t>
      </w:r>
    </w:p>
    <w:p>
      <w:pPr>
        <w:pStyle w:val="ListBullet"/>
      </w:pPr>
      <w:r>
        <w:t>Applies resource-level configurations that may silently diverge from the enterprise baseline (e.g., different TLS version, no soft-delete enabled)</w:t>
      </w:r>
    </w:p>
    <w:p>
      <w:pPr>
        <w:pStyle w:val="ListBullet"/>
      </w:pPr>
      <w:r>
        <w:t>Cannot be updated atomically when a cross-cutting change is needed (e.g., rotating all storage account network rules after a policy change)</w:t>
      </w:r>
    </w:p>
    <w:p/>
    <w:p>
      <w:r>
        <w:t>This is compounded by the fact that the per-resource repos visible in screenshots (terraform-azurerm-compeer-event-grid, terraform-azurerm-compeer-application-insights, terraform-azurerm-test-availabilitySet-rg) have no corresponding modules in the shared module library. Teams needing event grid or availability sets are building their own ad-hoc Terraform without standardization.</w:t>
      </w:r>
    </w:p>
    <w:p>
      <w:pPr>
        <w:pStyle w:val="Heading2"/>
        <w:jc w:val="left"/>
      </w:pPr>
      <w:r>
        <w:t>2.2 The Correct Pattern (Already Present)</w:t>
      </w:r>
    </w:p>
    <w:p>
      <w:r>
        <w:t>The azure-apim-function-app/azure-enterprise-terraform directory already implements the correct pattern. The stacks/dev/workload-v2/finserv-api stack is an excellent example: it composes 15+ modules in a single workspace, handles all inter-resource dependencies within Terraform's dependency graph, and uses remote state outputs (not hardcoded values) to reference shared platform resources. This pattern must be the standard for all teams.</w:t>
      </w:r>
    </w:p>
    <w:p>
      <w:pPr>
        <w:pStyle w:val="Heading2"/>
        <w:jc w:val="left"/>
      </w:pPr>
      <w:r>
        <w:t>2.3 HCP Private Module Registry: The Missing Link</w:t>
      </w:r>
    </w:p>
    <w:p>
      <w:r>
        <w:t>The current modules live in the same repo as the stacks that consume them, using relative paths (../../../../modules/...). While functional for a single team, this does not allow other teams to consume the modules without cloning the entire repo. The solution is to publish each module to HCP Terraform's Private Module Registry with semantic versioning. Teams then reference modules via:</w:t>
      </w:r>
    </w:p>
    <w:p>
      <w:pPr>
        <w:pStyle w:val="NoSpacing"/>
        <w:shd w:val="clear" w:color="auto" w:fill="F0F0F0"/>
      </w:pPr>
      <w:r>
        <w:rPr>
          <w:rFonts w:ascii="Courier New" w:hAnsi="Courier New"/>
          <w:sz w:val="20"/>
        </w:rPr>
        <w:t xml:space="preserve">  source  = "app.terraform.io/&lt;org&gt;/keyvault/azurerm"</w:t>
        <w:br/>
        <w:t xml:space="preserve">  version = "~&gt; 2.0"</w:t>
      </w:r>
    </w:p>
    <w:p>
      <w:r>
        <w:br w:type="page"/>
      </w:r>
    </w:p>
    <w:p>
      <w:pPr>
        <w:pStyle w:val="Heading1"/>
        <w:jc w:val="left"/>
      </w:pPr>
      <w:r>
        <w:t>3. Module-by-Module Review</w:t>
      </w:r>
    </w:p>
    <w:p>
      <w:pPr>
        <w:pStyle w:val="Heading2"/>
        <w:jc w:val="left"/>
      </w:pPr>
      <w:r>
        <w:t>3.1 network</w:t>
      </w:r>
    </w:p>
    <w:p>
      <w:r>
        <w:rPr>
          <w:b/>
        </w:rPr>
        <w:t xml:space="preserve">Verdict: </w:t>
      </w:r>
      <w:r>
        <w:rPr>
          <w:b/>
          <w:color w:val="007000"/>
        </w:rPr>
        <w:t xml:space="preserve"> [KEEP]</w:t>
      </w:r>
    </w:p>
    <w:p>
      <w:pPr>
        <w:pStyle w:val="Heading3"/>
        <w:jc w:val="left"/>
      </w:pPr>
      <w:r>
        <w:t>What Works Well</w:t>
      </w:r>
    </w:p>
    <w:p>
      <w:pPr>
        <w:pStyle w:val="ListBullet"/>
      </w:pPr>
      <w:r>
        <w:t>Clean dynamic subnet loop — callers define subnets as a typed map(object({...})) covering all common attributes</w:t>
      </w:r>
    </w:p>
    <w:p>
      <w:pPr>
        <w:pStyle w:val="ListBullet"/>
      </w:pPr>
      <w:r>
        <w:t>NSG rules are inline per-subnet using a local flatten+merge pattern that avoids resource key collisions</w:t>
      </w:r>
    </w:p>
    <w:p>
      <w:pPr>
        <w:pStyle w:val="ListBullet"/>
      </w:pPr>
      <w:r>
        <w:t>Supports route table association, NAT gateway association, and delegation — all optional via try()</w:t>
      </w:r>
    </w:p>
    <w:p>
      <w:pPr>
        <w:pStyle w:val="ListBullet"/>
      </w:pPr>
      <w:r>
        <w:t>Legacy private_endpoint_network_policies_enabled bool kept alongside new string attribute for backward compatibility</w:t>
      </w:r>
    </w:p>
    <w:p>
      <w:pPr>
        <w:pStyle w:val="ListBullet"/>
      </w:pPr>
      <w:r>
        <w:t>Tag variable defaults to {} so callers always control tagging without module imposing anything</w:t>
      </w:r>
    </w:p>
    <w:p>
      <w:pPr>
        <w:pStyle w:val="Heading3"/>
        <w:jc w:val="left"/>
      </w:pPr>
      <w:r>
        <w:t>Issues Found</w:t>
      </w:r>
    </w:p>
    <w:p>
      <w:pPr>
        <w:pStyle w:val="ListBullet"/>
      </w:pPr>
      <w:r>
        <w:t>No description fields on any variable — callers have to read main.tf to understand expected values</w:t>
      </w:r>
    </w:p>
    <w:p>
      <w:pPr>
        <w:pStyle w:val="ListBullet"/>
      </w:pPr>
      <w:r>
        <w:t>No validation on address_space CIDR format</w:t>
      </w:r>
    </w:p>
    <w:p>
      <w:pPr>
        <w:pStyle w:val="ListBullet"/>
      </w:pPr>
      <w:r>
        <w:t>The legacy boolean flags for private_endpoint_network_policies_enabled should have a deprecation notice</w:t>
      </w:r>
    </w:p>
    <w:p>
      <w:pPr>
        <w:pStyle w:val="ListBullet"/>
      </w:pPr>
      <w:r>
        <w:t>Missing: route table resource creation — callers must create azurerm_route_table externally and pass the ID in, which increases caller complexity</w:t>
      </w:r>
    </w:p>
    <w:p>
      <w:pPr>
        <w:pStyle w:val="ListBullet"/>
      </w:pPr>
      <w:r>
        <w:t>Missing: flow logs support (azurerm_network_watcher_flow_log) — required for finserv compliance</w:t>
      </w:r>
    </w:p>
    <w:p>
      <w:pPr>
        <w:pStyle w:val="Heading3"/>
        <w:jc w:val="left"/>
      </w:pPr>
      <w:r>
        <w:t>Recommended Actions</w:t>
      </w:r>
    </w:p>
    <w:p>
      <w:pPr>
        <w:pStyle w:val="ListBullet"/>
      </w:pPr>
      <w:r>
        <w:t>Add description to all variables</w:t>
      </w:r>
    </w:p>
    <w:p>
      <w:pPr>
        <w:pStyle w:val="ListBullet"/>
      </w:pPr>
      <w:r>
        <w:t>Add optional route table creation block (enable_route_table flag with UDR route list)</w:t>
      </w:r>
    </w:p>
    <w:p>
      <w:pPr>
        <w:pStyle w:val="ListBullet"/>
      </w:pPr>
      <w:r>
        <w:t>Add optional flow_log block pointing to a storage account</w:t>
      </w:r>
    </w:p>
    <w:p>
      <w:pPr>
        <w:pStyle w:val="ListBullet"/>
      </w:pPr>
      <w:r>
        <w:t>Mark legacy boolean variables as deprecated in description</w:t>
      </w:r>
    </w:p>
    <w:p/>
    <w:p>
      <w:pPr>
        <w:pStyle w:val="Heading2"/>
        <w:jc w:val="left"/>
      </w:pPr>
      <w:r>
        <w:t>3.2 vnet-hub</w:t>
      </w:r>
    </w:p>
    <w:p>
      <w:r>
        <w:rPr>
          <w:b/>
        </w:rPr>
        <w:t xml:space="preserve">Verdict: </w:t>
      </w:r>
      <w:r>
        <w:rPr>
          <w:b/>
          <w:color w:val="007000"/>
        </w:rPr>
        <w:t xml:space="preserve"> [KEEP]</w:t>
      </w:r>
    </w:p>
    <w:p>
      <w:pPr>
        <w:pStyle w:val="Heading3"/>
        <w:jc w:val="left"/>
      </w:pPr>
      <w:r>
        <w:t>What Works Well</w:t>
      </w:r>
    </w:p>
    <w:p>
      <w:pPr>
        <w:pStyle w:val="ListBullet"/>
      </w:pPr>
      <w:r>
        <w:t>Excellent aggregator module — wraps network, nat-gateway, bastion, and firewall in one composable unit</w:t>
      </w:r>
    </w:p>
    <w:p>
      <w:pPr>
        <w:pStyle w:val="ListBullet"/>
      </w:pPr>
      <w:r>
        <w:t>All major hub components are optional via enable_* boolean flags with secure-off defaults</w:t>
      </w:r>
    </w:p>
    <w:p>
      <w:pPr>
        <w:pStyle w:val="ListBullet"/>
      </w:pPr>
      <w:r>
        <w:t>Pre-provisions GatewaySubnet even when no gateway is deployed — prevents destructive address space reallocation later</w:t>
      </w:r>
    </w:p>
    <w:p>
      <w:pPr>
        <w:pStyle w:val="ListBullet"/>
      </w:pPr>
      <w:r>
        <w:t>Firewall policy rule collection exposed via a typed list variable, supporting multiple named collections</w:t>
      </w:r>
    </w:p>
    <w:p>
      <w:pPr>
        <w:pStyle w:val="ListBullet"/>
      </w:pPr>
      <w:r>
        <w:t>Management lock applied to the resource group protecting shared hub from accidental deletion</w:t>
      </w:r>
    </w:p>
    <w:p>
      <w:pPr>
        <w:pStyle w:val="ListBullet"/>
      </w:pPr>
      <w:r>
        <w:t>Private DNS zones configurable with sensible defaults for all common Azure PaaS services</w:t>
      </w:r>
    </w:p>
    <w:p>
      <w:pPr>
        <w:pStyle w:val="Heading3"/>
        <w:jc w:val="left"/>
      </w:pPr>
      <w:r>
        <w:t>Issues Found</w:t>
      </w:r>
    </w:p>
    <w:p>
      <w:pPr>
        <w:pStyle w:val="ListBullet"/>
      </w:pPr>
      <w:r>
        <w:t>Default subnet CIDRs are hardcoded (e.g., AzureFirewallSubnet = 10.0.0.0/26) — these will conflict across environments unless overridden by every caller</w:t>
      </w:r>
    </w:p>
    <w:p>
      <w:pPr>
        <w:pStyle w:val="ListBullet"/>
      </w:pPr>
      <w:r>
        <w:t>No application rule collections on the firewall policy (only network rules) — limits L7 filtering</w:t>
      </w:r>
    </w:p>
    <w:p>
      <w:pPr>
        <w:pStyle w:val="ListBullet"/>
      </w:pPr>
      <w:r>
        <w:t>No ExpressRoute / VPN gateway module integration, despite GatewaySubnet being pre-provisioned</w:t>
      </w:r>
    </w:p>
    <w:p>
      <w:pPr>
        <w:pStyle w:val="ListBullet"/>
      </w:pPr>
      <w:r>
        <w:t>ddos_protection_plan_id is not surfaced in hub variables — hub is the natural place to attach DDoS protection</w:t>
      </w:r>
    </w:p>
    <w:p>
      <w:pPr>
        <w:pStyle w:val="ListBullet"/>
      </w:pPr>
      <w:r>
        <w:t>enable_bastion = false by default but for enterprise prod this should be flagged as mandatory in usage docs</w:t>
      </w:r>
    </w:p>
    <w:p>
      <w:pPr>
        <w:pStyle w:val="Heading3"/>
        <w:jc w:val="left"/>
      </w:pPr>
      <w:r>
        <w:t>Recommended Actions</w:t>
      </w:r>
    </w:p>
    <w:p>
      <w:pPr>
        <w:pStyle w:val="ListBullet"/>
      </w:pPr>
      <w:r>
        <w:t>Remove all hardcoded default subnet CIDRs — require explicit values OR accept a CIDR map override</w:t>
      </w:r>
    </w:p>
    <w:p>
      <w:pPr>
        <w:pStyle w:val="ListBullet"/>
      </w:pPr>
      <w:r>
        <w:t>Add application_rule_collections variable parallel to network_rule_collections</w:t>
      </w:r>
    </w:p>
    <w:p>
      <w:pPr>
        <w:pStyle w:val="ListBullet"/>
      </w:pPr>
      <w:r>
        <w:t>Add ddos_protection_plan_id optional variable and pass to module network</w:t>
      </w:r>
    </w:p>
    <w:p>
      <w:pPr>
        <w:pStyle w:val="ListBullet"/>
      </w:pPr>
      <w:r>
        <w:t>Add optional vpn_gateway or express_route_gateway sub-module block</w:t>
      </w:r>
    </w:p>
    <w:p/>
    <w:p>
      <w:pPr>
        <w:pStyle w:val="Heading2"/>
        <w:jc w:val="left"/>
      </w:pPr>
      <w:r>
        <w:t>3.3 vnet-spoke</w:t>
      </w:r>
    </w:p>
    <w:p>
      <w:r>
        <w:rPr>
          <w:b/>
        </w:rPr>
        <w:t xml:space="preserve">Verdict: </w:t>
      </w:r>
      <w:r>
        <w:rPr>
          <w:b/>
          <w:color w:val="BF5000"/>
        </w:rPr>
        <w:t xml:space="preserve"> [ADJUST]</w:t>
      </w:r>
    </w:p>
    <w:p>
      <w:pPr>
        <w:pStyle w:val="Heading3"/>
        <w:jc w:val="left"/>
      </w:pPr>
      <w:r>
        <w:t>What Works Well</w:t>
      </w:r>
    </w:p>
    <w:p>
      <w:pPr>
        <w:pStyle w:val="ListBullet"/>
      </w:pPr>
      <w:r>
        <w:t>Opinionated default layout (app, integration, data, private-endpoints) covers 80% of workload patterns</w:t>
      </w:r>
    </w:p>
    <w:p>
      <w:pPr>
        <w:pStyle w:val="ListBullet"/>
      </w:pPr>
      <w:r>
        <w:t>Private-endpoints subnet correctly sets private_endpoint_network_policies = Disabled</w:t>
      </w:r>
    </w:p>
    <w:p>
      <w:pPr>
        <w:pStyle w:val="ListBullet"/>
      </w:pPr>
      <w:r>
        <w:t>Callers can fully override the subnet map when the defaults don't fit</w:t>
      </w:r>
    </w:p>
    <w:p>
      <w:pPr>
        <w:pStyle w:val="ListBullet"/>
      </w:pPr>
      <w:r>
        <w:t>Passes through cleanly to the network module — no resource duplication</w:t>
      </w:r>
    </w:p>
    <w:p>
      <w:pPr>
        <w:pStyle w:val="Heading3"/>
        <w:jc w:val="left"/>
      </w:pPr>
      <w:r>
        <w:t>Issues Found</w:t>
      </w:r>
    </w:p>
    <w:p>
      <w:pPr>
        <w:pStyle w:val="ListBullet"/>
      </w:pPr>
      <w:r>
        <w:t>Default CIDR values (10.10.1.0/24, 10.10.2.0/24, etc.) are hardcoded and IDENTICAL for every spoke deployment — deploying two spokes with defaults creates address space conflicts</w:t>
      </w:r>
    </w:p>
    <w:p>
      <w:pPr>
        <w:pStyle w:val="ListBullet"/>
      </w:pPr>
      <w:r>
        <w:t>No apim subnet in defaults — finserv-api stack has to add it via subnets override, losing the benefit of opinionated defaults</w:t>
      </w:r>
    </w:p>
    <w:p>
      <w:pPr>
        <w:pStyle w:val="ListBullet"/>
      </w:pPr>
      <w:r>
        <w:t>No route table support — egress through hub firewall is a common enterprise requirement but callers must pass route_table_id manually</w:t>
      </w:r>
    </w:p>
    <w:p>
      <w:pPr>
        <w:pStyle w:val="ListBullet"/>
      </w:pPr>
      <w:r>
        <w:t>No UDR (User-Defined Route) for default route pointing to hub firewall</w:t>
      </w:r>
    </w:p>
    <w:p>
      <w:pPr>
        <w:pStyle w:val="ListBullet"/>
      </w:pPr>
      <w:r>
        <w:t>The default_subnets local is built inline using raw map literals instead of reusing subnet_defaults local — if the object schema changes, both places need updates</w:t>
      </w:r>
    </w:p>
    <w:p>
      <w:pPr>
        <w:pStyle w:val="Heading3"/>
        <w:jc w:val="left"/>
      </w:pPr>
      <w:r>
        <w:t>Recommended Actions</w:t>
      </w:r>
    </w:p>
    <w:p>
      <w:pPr>
        <w:pStyle w:val="ListBullet"/>
      </w:pPr>
      <w:r>
        <w:t>Remove ALL default CIDR values — raise validation error if not provided, or document that defaults are placeholder-only and must be overridden</w:t>
      </w:r>
    </w:p>
    <w:p>
      <w:pPr>
        <w:pStyle w:val="ListBullet"/>
      </w:pPr>
      <w:r>
        <w:t>Add apim subnet to defaults when enable_apim = true (feature flag)</w:t>
      </w:r>
    </w:p>
    <w:p>
      <w:pPr>
        <w:pStyle w:val="ListBullet"/>
      </w:pPr>
      <w:r>
        <w:t>Add hub_firewall_private_ip optional variable and a route_table block that UDRs 0.0.0.0/0 through it</w:t>
      </w:r>
    </w:p>
    <w:p>
      <w:pPr>
        <w:pStyle w:val="ListBullet"/>
      </w:pPr>
      <w:r>
        <w:t>Refactor subnet defaults to use a single shared local for DRY object structure</w:t>
      </w:r>
    </w:p>
    <w:p/>
    <w:p>
      <w:pPr>
        <w:pStyle w:val="Heading2"/>
        <w:jc w:val="left"/>
      </w:pPr>
      <w:r>
        <w:t>3.4 aks</w:t>
      </w:r>
    </w:p>
    <w:p>
      <w:r>
        <w:rPr>
          <w:b/>
        </w:rPr>
        <w:t xml:space="preserve">Verdict: </w:t>
      </w:r>
      <w:r>
        <w:rPr>
          <w:b/>
          <w:color w:val="007000"/>
        </w:rPr>
        <w:t xml:space="preserve"> [KEEP]</w:t>
      </w:r>
    </w:p>
    <w:p>
      <w:pPr>
        <w:pStyle w:val="Heading3"/>
        <w:jc w:val="left"/>
      </w:pPr>
      <w:r>
        <w:t>What Works Well</w:t>
      </w:r>
    </w:p>
    <w:p>
      <w:pPr>
        <w:pStyle w:val="ListBullet"/>
      </w:pPr>
      <w:r>
        <w:t>Lifecycle preconditions enforce enterprise baseline: private cluster cannot run with public access enabled, max_pods &gt;= 50</w:t>
      </w:r>
    </w:p>
    <w:p>
      <w:pPr>
        <w:pStyle w:val="ListBullet"/>
      </w:pPr>
      <w:r>
        <w:t>Secure-by-default: local_account_disabled=true, RBAC=true, OIDC=true, workload_identity=true, image_cleaner=true</w:t>
      </w:r>
    </w:p>
    <w:p>
      <w:pPr>
        <w:pStyle w:val="ListBullet"/>
      </w:pPr>
      <w:r>
        <w:t>Key Vault secrets provider dynamic block — off-by-default but clean to enable</w:t>
      </w:r>
    </w:p>
    <w:p>
      <w:pPr>
        <w:pStyle w:val="ListBullet"/>
      </w:pPr>
      <w:r>
        <w:t>Disk encryption set ID supported for CMK at node pool level</w:t>
      </w:r>
    </w:p>
    <w:p>
      <w:pPr>
        <w:pStyle w:val="ListBullet"/>
      </w:pPr>
      <w:r>
        <w:t>OMS agent dynamic block wires to Log Analytics workspace cleanly</w:t>
      </w:r>
    </w:p>
    <w:p>
      <w:pPr>
        <w:pStyle w:val="ListBullet"/>
      </w:pPr>
      <w:r>
        <w:t>os_disk_type hardcoded to Ephemeral — correct enterprise default for performance and cost</w:t>
      </w:r>
    </w:p>
    <w:p>
      <w:pPr>
        <w:pStyle w:val="Heading3"/>
        <w:jc w:val="left"/>
      </w:pPr>
      <w:r>
        <w:t>Issues Found</w:t>
      </w:r>
    </w:p>
    <w:p>
      <w:pPr>
        <w:pStyle w:val="ListBullet"/>
      </w:pPr>
      <w:r>
        <w:t>sku_tier is hardcoded to Standard — Free tier is valid for dev and the lack of a variable forces a code fork for non-prod environments</w:t>
      </w:r>
    </w:p>
    <w:p>
      <w:pPr>
        <w:pStyle w:val="ListBullet"/>
      </w:pPr>
      <w:r>
        <w:t>Only one node pool (default) is supported — enterprise AKS clusters routinely need multiple user node pools (GPU, memory-optimized, spot)</w:t>
      </w:r>
    </w:p>
    <w:p>
      <w:pPr>
        <w:pStyle w:val="ListBullet"/>
      </w:pPr>
      <w:r>
        <w:t>identity.type is hardcoded to SystemAssigned — user-assigned identity is required when using private DNS zones with custom DNS or when sharing identity across clusters</w:t>
      </w:r>
    </w:p>
    <w:p>
      <w:pPr>
        <w:pStyle w:val="ListBullet"/>
      </w:pPr>
      <w:r>
        <w:t>run_command_enabled defaults to false but there is no alternative escape hatch — operators can't troubleshoot without enabling it or using Bastion</w:t>
      </w:r>
    </w:p>
    <w:p>
      <w:pPr>
        <w:pStyle w:val="ListBullet"/>
      </w:pPr>
      <w:r>
        <w:t>network_profile has network_plugin and network_policy hardcoded to azure — Cilium is increasingly required for advanced network policy</w:t>
      </w:r>
    </w:p>
    <w:p>
      <w:pPr>
        <w:pStyle w:val="ListBullet"/>
      </w:pPr>
      <w:r>
        <w:t>No Azure Monitor managed Prometheus or Grafana integration block</w:t>
      </w:r>
    </w:p>
    <w:p>
      <w:pPr>
        <w:pStyle w:val="ListBullet"/>
      </w:pPr>
      <w:r>
        <w:t>microsoft_defender block not exposed — required for Defender for Containers</w:t>
      </w:r>
    </w:p>
    <w:p>
      <w:pPr>
        <w:pStyle w:val="Heading3"/>
        <w:jc w:val="left"/>
      </w:pPr>
      <w:r>
        <w:t>Recommended Actions</w:t>
      </w:r>
    </w:p>
    <w:p>
      <w:pPr>
        <w:pStyle w:val="ListBullet"/>
      </w:pPr>
      <w:r>
        <w:t>Add sku_tier variable with default=Standard but allow Free for dev environments</w:t>
      </w:r>
    </w:p>
    <w:p>
      <w:pPr>
        <w:pStyle w:val="ListBullet"/>
      </w:pPr>
      <w:r>
        <w:t>Add additional_node_pools variable as map(object({...})) — create azurerm_kubernetes_cluster_node_pool for each entry</w:t>
      </w:r>
    </w:p>
    <w:p>
      <w:pPr>
        <w:pStyle w:val="ListBullet"/>
      </w:pPr>
      <w:r>
        <w:t>Add identity_type variable defaulting to SystemAssigned, support UserAssigned with identity_ids</w:t>
      </w:r>
    </w:p>
    <w:p>
      <w:pPr>
        <w:pStyle w:val="ListBullet"/>
      </w:pPr>
      <w:r>
        <w:t>Add network_plugin and network_policy variables with validation (azure, kubenet, cilium)</w:t>
      </w:r>
    </w:p>
    <w:p>
      <w:pPr>
        <w:pStyle w:val="ListBullet"/>
      </w:pPr>
      <w:r>
        <w:t>Add microsoft_defender block with optional log_analytics_workspace_id</w:t>
      </w:r>
    </w:p>
    <w:p>
      <w:pPr>
        <w:pStyle w:val="ListBullet"/>
      </w:pPr>
      <w:r>
        <w:t>Add monitor_metrics block for managed Prometheus</w:t>
      </w:r>
    </w:p>
    <w:p/>
    <w:p>
      <w:pPr>
        <w:pStyle w:val="Heading2"/>
        <w:jc w:val="left"/>
      </w:pPr>
      <w:r>
        <w:t>3.5 apim</w:t>
      </w:r>
    </w:p>
    <w:p>
      <w:r>
        <w:rPr>
          <w:b/>
        </w:rPr>
        <w:t xml:space="preserve">Verdict: </w:t>
      </w:r>
      <w:r>
        <w:rPr>
          <w:b/>
          <w:color w:val="BF5000"/>
        </w:rPr>
        <w:t xml:space="preserve"> [ADJUST]</w:t>
      </w:r>
    </w:p>
    <w:p>
      <w:pPr>
        <w:pStyle w:val="Heading3"/>
        <w:jc w:val="left"/>
      </w:pPr>
      <w:r>
        <w:t>What Works Well</w:t>
      </w:r>
    </w:p>
    <w:p>
      <w:pPr>
        <w:pStyle w:val="ListBullet"/>
      </w:pPr>
      <w:r>
        <w:t>Handles three distinct patterns cleanly: APIM standalone, APIM+API spec, APIM+function app backend — all with conditional resource creation</w:t>
      </w:r>
    </w:p>
    <w:p>
      <w:pPr>
        <w:pStyle w:val="ListBullet"/>
      </w:pPr>
      <w:r>
        <w:t>Named value is marked secret=true for function keys</w:t>
      </w:r>
    </w:p>
    <w:p>
      <w:pPr>
        <w:pStyle w:val="ListBullet"/>
      </w:pPr>
      <w:r>
        <w:t>VNet integration supported (Internal or External) via virtual_network_type + subnet_id</w:t>
      </w:r>
    </w:p>
    <w:p>
      <w:pPr>
        <w:pStyle w:val="ListBullet"/>
      </w:pPr>
      <w:r>
        <w:t>function_app_key_lookup_enabled flag lets callers opt out of runtime data source lookup when the key is pre-known</w:t>
      </w:r>
    </w:p>
    <w:p>
      <w:pPr>
        <w:pStyle w:val="ListBullet"/>
      </w:pPr>
      <w:r>
        <w:t>backend_url validation enforces https:// prefix</w:t>
      </w:r>
    </w:p>
    <w:p>
      <w:pPr>
        <w:pStyle w:val="Heading3"/>
        <w:jc w:val="left"/>
      </w:pPr>
      <w:r>
        <w:t>Issues Found</w:t>
      </w:r>
    </w:p>
    <w:p>
      <w:pPr>
        <w:pStyle w:val="ListBullet"/>
      </w:pPr>
      <w:r>
        <w:t>file(abspath(var.api_spec_path)) reads from local filesystem at plan time — HCP Terraform remote execution does NOT upload arbitrary files; this will fail unless the spec is in the repo and the workspace is configured for VCS-driven plans. This is a known source of run failures.</w:t>
      </w:r>
    </w:p>
    <w:p>
      <w:pPr>
        <w:pStyle w:val="ListBullet"/>
      </w:pPr>
      <w:r>
        <w:t>Only openapi content_format supported — WSDL (SOAP), Swagger 2.0, and GraphQL are common enterprise API types</w:t>
      </w:r>
    </w:p>
    <w:p>
      <w:pPr>
        <w:pStyle w:val="ListBullet"/>
      </w:pPr>
      <w:r>
        <w:t>No azurerm_api_management_custom_domain block — required for enterprise domains with custom TLS certs</w:t>
      </w:r>
    </w:p>
    <w:p>
      <w:pPr>
        <w:pStyle w:val="ListBullet"/>
      </w:pPr>
      <w:r>
        <w:t>No azurerm_api_management_certificate block — required for mutual TLS backends</w:t>
      </w:r>
    </w:p>
    <w:p>
      <w:pPr>
        <w:pStyle w:val="ListBullet"/>
      </w:pPr>
      <w:r>
        <w:t>No api_management_product or api_management_subscription resources — APIM products are how you tier API access for different consumers</w:t>
      </w:r>
    </w:p>
    <w:p>
      <w:pPr>
        <w:pStyle w:val="ListBullet"/>
      </w:pPr>
      <w:r>
        <w:t>identity_type has no validation block unlike function_app module</w:t>
      </w:r>
    </w:p>
    <w:p>
      <w:pPr>
        <w:pStyle w:val="ListBullet"/>
      </w:pPr>
      <w:r>
        <w:t>sku_name defaults to Developer_1 which has no SLA and cannot be used in production</w:t>
      </w:r>
    </w:p>
    <w:p>
      <w:pPr>
        <w:pStyle w:val="Heading3"/>
        <w:jc w:val="left"/>
      </w:pPr>
      <w:r>
        <w:t>Recommended Actions</w:t>
      </w:r>
    </w:p>
    <w:p>
      <w:pPr>
        <w:pStyle w:val="ListBullet"/>
      </w:pPr>
      <w:r>
        <w:t>Replace file(abspath(...)) with var.api_spec_content (string) — callers pass file() or templatefile() in their stack, not the module</w:t>
      </w:r>
    </w:p>
    <w:p>
      <w:pPr>
        <w:pStyle w:val="ListBullet"/>
      </w:pPr>
      <w:r>
        <w:t>Add api_content_format variable with validation (openapi, swagger-json, wsdl, graphql)</w:t>
      </w:r>
    </w:p>
    <w:p>
      <w:pPr>
        <w:pStyle w:val="ListBullet"/>
      </w:pPr>
      <w:r>
        <w:t>Add sku_name validation: reject Developer_1 when public_network_access_enabled=false</w:t>
      </w:r>
    </w:p>
    <w:p>
      <w:pPr>
        <w:pStyle w:val="ListBullet"/>
      </w:pPr>
      <w:r>
        <w:t>Add optional custom_domain block</w:t>
      </w:r>
    </w:p>
    <w:p>
      <w:pPr>
        <w:pStyle w:val="ListBullet"/>
      </w:pPr>
      <w:r>
        <w:t>Add optional products variable as map(object({...})) for product/subscription management</w:t>
      </w:r>
    </w:p>
    <w:p/>
    <w:p>
      <w:pPr>
        <w:pStyle w:val="Heading2"/>
        <w:jc w:val="left"/>
      </w:pPr>
      <w:r>
        <w:t>3.6 function_app</w:t>
      </w:r>
    </w:p>
    <w:p>
      <w:r>
        <w:rPr>
          <w:b/>
        </w:rPr>
        <w:t xml:space="preserve">Verdict: </w:t>
      </w:r>
      <w:r>
        <w:rPr>
          <w:b/>
          <w:color w:val="C00000"/>
        </w:rPr>
        <w:t xml:space="preserve"> [REWRITE]</w:t>
      </w:r>
    </w:p>
    <w:p>
      <w:pPr>
        <w:pStyle w:val="Heading3"/>
        <w:jc w:val="left"/>
      </w:pPr>
      <w:r>
        <w:t>What Works Well</w:t>
      </w:r>
    </w:p>
    <w:p>
      <w:pPr>
        <w:pStyle w:val="ListBullet"/>
      </w:pPr>
      <w:r>
        <w:t>Identity type with validation — clear error message on invalid values</w:t>
      </w:r>
    </w:p>
    <w:p>
      <w:pPr>
        <w:pStyle w:val="ListBullet"/>
      </w:pPr>
      <w:r>
        <w:t>lifecycle precondition enforces identity_ids when UserAssigned selected</w:t>
      </w:r>
    </w:p>
    <w:p>
      <w:pPr>
        <w:pStyle w:val="ListBullet"/>
      </w:pPr>
      <w:r>
        <w:t>Application insights connection string marked sensitive</w:t>
      </w:r>
    </w:p>
    <w:p>
      <w:pPr>
        <w:pStyle w:val="ListBullet"/>
      </w:pPr>
      <w:r>
        <w:t>vnet_route_all_enabled defaults to true — correct for VNet-integrated functions</w:t>
      </w:r>
    </w:p>
    <w:p>
      <w:pPr>
        <w:pStyle w:val="ListBullet"/>
      </w:pPr>
      <w:r>
        <w:t>ftps_state defaults to Disabled — secure</w:t>
      </w:r>
    </w:p>
    <w:p>
      <w:pPr>
        <w:pStyle w:val="Heading3"/>
        <w:jc w:val="left"/>
      </w:pPr>
      <w:r>
        <w:t>Issues Found</w:t>
      </w:r>
    </w:p>
    <w:p>
      <w:pPr>
        <w:pStyle w:val="ListBullet"/>
      </w:pPr>
      <w:r>
        <w:t>LINUX ONLY: The module creates azurerm_service_plan with os_type=Linux and azurerm_linux_function_app. Windows Function Apps (required by many .NET and PowerShell workloads, and shown in the HCP screenshots as a separate terraform-azurerm-compeer-windows-function-app workspace) cannot use this module</w:t>
      </w:r>
    </w:p>
    <w:p>
      <w:pPr>
        <w:pStyle w:val="ListBullet"/>
      </w:pPr>
      <w:r>
        <w:t>PYTHON ONLY: application_stack block only sets python_version — Node.js, .NET, Java, PowerShell, and custom container runtimes are completely unsupported</w:t>
      </w:r>
    </w:p>
    <w:p>
      <w:pPr>
        <w:pStyle w:val="ListBullet"/>
      </w:pPr>
      <w:r>
        <w:t>SERVICE PLAN BUNDLED: The module creates its own azurerm_service_plan internally. This means every function app gets its own dedicated plan. Sharing a Consumption or Premium plan across multiple function apps (cost optimization) is impossible</w:t>
      </w:r>
    </w:p>
    <w:p>
      <w:pPr>
        <w:pStyle w:val="ListBullet"/>
      </w:pPr>
      <w:r>
        <w:t>storage_account_access_key is required even when managed identity storage auth is used (WEBSITE_CONTENTAZUREFILECONNECTIONSTRING with managed identity) — this forces secrets into state</w:t>
      </w:r>
    </w:p>
    <w:p>
      <w:pPr>
        <w:pStyle w:val="ListBullet"/>
      </w:pPr>
      <w:r>
        <w:t>app_settings is a flat map with no structure — callers must know the exact setting names; no validation or helpful defaults for common patterns</w:t>
      </w:r>
    </w:p>
    <w:p>
      <w:pPr>
        <w:pStyle w:val="ListBullet"/>
      </w:pPr>
      <w:r>
        <w:t>worker_count variable exists but zone_balancing_enabled is computed from it — callers cannot independently set zone_balancing</w:t>
      </w:r>
    </w:p>
    <w:p>
      <w:pPr>
        <w:pStyle w:val="ListBullet"/>
      </w:pPr>
      <w:r>
        <w:t>No slot (staging/deployment slot) support — required for zero-downtime deployments</w:t>
      </w:r>
    </w:p>
    <w:p>
      <w:pPr>
        <w:pStyle w:val="ListBullet"/>
      </w:pPr>
      <w:r>
        <w:t>No sticky_settings block — prevents settings from being swapped with slots</w:t>
      </w:r>
    </w:p>
    <w:p>
      <w:pPr>
        <w:pStyle w:val="Heading3"/>
        <w:jc w:val="left"/>
      </w:pPr>
      <w:r>
        <w:t>Recommended Actions</w:t>
      </w:r>
    </w:p>
    <w:p>
      <w:pPr>
        <w:pStyle w:val="ListBullet"/>
      </w:pPr>
      <w:r>
        <w:t>SPLIT into: function_app_linux.tf, function_app_windows.tf, OR use os_type variable and conditional resource creation</w:t>
      </w:r>
    </w:p>
    <w:p>
      <w:pPr>
        <w:pStyle w:val="ListBullet"/>
      </w:pPr>
      <w:r>
        <w:t>ADD runtime variable with validation: python, node, dotnet, java, powershell, custom</w:t>
      </w:r>
    </w:p>
    <w:p>
      <w:pPr>
        <w:pStyle w:val="ListBullet"/>
      </w:pPr>
      <w:r>
        <w:t>REMOVE internal service plan — require callers to pass service_plan_id (create a separate service_plan module)</w:t>
      </w:r>
    </w:p>
    <w:p>
      <w:pPr>
        <w:pStyle w:val="ListBullet"/>
      </w:pPr>
      <w:r>
        <w:t>ADD storage_uses_managed_identity bool — when true, skip shared key and use RBAC storage auth</w:t>
      </w:r>
    </w:p>
    <w:p>
      <w:pPr>
        <w:pStyle w:val="ListBullet"/>
      </w:pPr>
      <w:r>
        <w:t>ADD deployment_slot support with optional slot_name variable</w:t>
      </w:r>
    </w:p>
    <w:p>
      <w:pPr>
        <w:pStyle w:val="ListBullet"/>
      </w:pPr>
      <w:r>
        <w:t>ADD application_stack as object variable with optional fields for each runtime</w:t>
      </w:r>
    </w:p>
    <w:p>
      <w:pPr>
        <w:pStyle w:val="ListBullet"/>
      </w:pPr>
      <w:r>
        <w:t>Create a companion service_plan module with os_type, sku_name, worker_count, zone_balancing_enabled</w:t>
      </w:r>
    </w:p>
    <w:p/>
    <w:p>
      <w:pPr>
        <w:pStyle w:val="Heading2"/>
        <w:jc w:val="left"/>
      </w:pPr>
      <w:r>
        <w:t>3.7 keyvault</w:t>
      </w:r>
    </w:p>
    <w:p>
      <w:r>
        <w:rPr>
          <w:b/>
        </w:rPr>
        <w:t xml:space="preserve">Verdict: </w:t>
      </w:r>
      <w:r>
        <w:rPr>
          <w:b/>
          <w:color w:val="007000"/>
        </w:rPr>
        <w:t xml:space="preserve"> [KEEP]</w:t>
      </w:r>
    </w:p>
    <w:p>
      <w:pPr>
        <w:pStyle w:val="Heading3"/>
        <w:jc w:val="left"/>
      </w:pPr>
      <w:r>
        <w:t>What Works Well</w:t>
      </w:r>
    </w:p>
    <w:p>
      <w:pPr>
        <w:pStyle w:val="ListBullet"/>
      </w:pPr>
      <w:r>
        <w:t>purge_protection_enabled defaults to true — meets finserv compliance</w:t>
      </w:r>
    </w:p>
    <w:p>
      <w:pPr>
        <w:pStyle w:val="ListBullet"/>
      </w:pPr>
      <w:r>
        <w:t>enable_rbac_authorization defaults to true — correct: access policies are deprecated</w:t>
      </w:r>
    </w:p>
    <w:p>
      <w:pPr>
        <w:pStyle w:val="ListBullet"/>
      </w:pPr>
      <w:r>
        <w:t>public_network_access_enabled defaults to false — correct secure default</w:t>
      </w:r>
    </w:p>
    <w:p>
      <w:pPr>
        <w:pStyle w:val="ListBullet"/>
      </w:pPr>
      <w:r>
        <w:t>network_acls block always present with deny-by-default — no accidental open KV</w:t>
      </w:r>
    </w:p>
    <w:p>
      <w:pPr>
        <w:pStyle w:val="ListBullet"/>
      </w:pPr>
      <w:r>
        <w:t>soft_delete_retention_days defaults to 90 days — maximum allowed</w:t>
      </w:r>
    </w:p>
    <w:p>
      <w:pPr>
        <w:pStyle w:val="ListBullet"/>
      </w:pPr>
      <w:r>
        <w:t>Checkov skip annotation with clear rationale about private endpoints in caller stacks</w:t>
      </w:r>
    </w:p>
    <w:p>
      <w:pPr>
        <w:pStyle w:val="Heading3"/>
        <w:jc w:val="left"/>
      </w:pPr>
      <w:r>
        <w:t>Issues Found</w:t>
      </w:r>
    </w:p>
    <w:p>
      <w:pPr>
        <w:pStyle w:val="ListBullet"/>
      </w:pPr>
      <w:r>
        <w:t>No diagnostic settings block — Key Vault audit events (AuditEvent) should always be sent to Log Analytics; this is a finserv control finding when absent</w:t>
      </w:r>
    </w:p>
    <w:p>
      <w:pPr>
        <w:pStyle w:val="ListBullet"/>
      </w:pPr>
      <w:r>
        <w:t>No contact block for certificate expiry notifications</w:t>
      </w:r>
    </w:p>
    <w:p>
      <w:pPr>
        <w:pStyle w:val="ListBullet"/>
      </w:pPr>
      <w:r>
        <w:t>No lifecycle block to prevent accidental destruction of a production key vault</w:t>
      </w:r>
    </w:p>
    <w:p>
      <w:pPr>
        <w:pStyle w:val="ListBullet"/>
      </w:pPr>
      <w:r>
        <w:t>sku_name has no validation — premium is required for HSM-backed keys; typos silently fail during plan</w:t>
      </w:r>
    </w:p>
    <w:p>
      <w:pPr>
        <w:pStyle w:val="Heading3"/>
        <w:jc w:val="left"/>
      </w:pPr>
      <w:r>
        <w:t>Recommended Actions</w:t>
      </w:r>
    </w:p>
    <w:p>
      <w:pPr>
        <w:pStyle w:val="ListBullet"/>
      </w:pPr>
      <w:r>
        <w:t>Add optional diagnostic_settings block: log_analytics_workspace_id variable with AuditEvent enabled by default</w:t>
      </w:r>
    </w:p>
    <w:p>
      <w:pPr>
        <w:pStyle w:val="ListBullet"/>
      </w:pPr>
      <w:r>
        <w:t>Add lifecycle prevent_destroy as a configurable option (enable_prevent_destroy = true)</w:t>
      </w:r>
    </w:p>
    <w:p>
      <w:pPr>
        <w:pStyle w:val="ListBullet"/>
      </w:pPr>
      <w:r>
        <w:t>Add sku_name validation: contains([standard, premium])</w:t>
      </w:r>
    </w:p>
    <w:p>
      <w:pPr>
        <w:pStyle w:val="ListBullet"/>
      </w:pPr>
      <w:r>
        <w:t>Add optional contact block for certificate notifications</w:t>
      </w:r>
    </w:p>
    <w:p/>
    <w:p>
      <w:pPr>
        <w:pStyle w:val="Heading2"/>
        <w:jc w:val="left"/>
      </w:pPr>
      <w:r>
        <w:t>3.8 storage</w:t>
      </w:r>
    </w:p>
    <w:p>
      <w:r>
        <w:rPr>
          <w:b/>
        </w:rPr>
        <w:t xml:space="preserve">Verdict: </w:t>
      </w:r>
      <w:r>
        <w:rPr>
          <w:b/>
          <w:color w:val="BF5000"/>
        </w:rPr>
        <w:t xml:space="preserve"> [ADJUST]</w:t>
      </w:r>
    </w:p>
    <w:p>
      <w:pPr>
        <w:pStyle w:val="Heading3"/>
        <w:jc w:val="left"/>
      </w:pPr>
      <w:r>
        <w:t>What Works Well</w:t>
      </w:r>
    </w:p>
    <w:p>
      <w:pPr>
        <w:pStyle w:val="ListBullet"/>
      </w:pPr>
      <w:r>
        <w:t>Infrastructure encryption enabled by default — double-encryption for finserv</w:t>
      </w:r>
    </w:p>
    <w:p>
      <w:pPr>
        <w:pStyle w:val="ListBullet"/>
      </w:pPr>
      <w:r>
        <w:t>Versioning and change_feed enabled by default — audit trail requirements</w:t>
      </w:r>
    </w:p>
    <w:p>
      <w:pPr>
        <w:pStyle w:val="ListBullet"/>
      </w:pPr>
      <w:r>
        <w:t>Queue logging block always on — compliance</w:t>
      </w:r>
    </w:p>
    <w:p>
      <w:pPr>
        <w:pStyle w:val="ListBullet"/>
      </w:pPr>
      <w:r>
        <w:t>SAS expiry policy enforced when shared key is enabled</w:t>
      </w:r>
    </w:p>
    <w:p>
      <w:pPr>
        <w:pStyle w:val="ListBullet"/>
      </w:pPr>
      <w:r>
        <w:t>network_rules default_action=Deny — no accidental public exposure</w:t>
      </w:r>
    </w:p>
    <w:p>
      <w:pPr>
        <w:pStyle w:val="ListBullet"/>
      </w:pPr>
      <w:r>
        <w:t>name validation regex enforces Azure storage account naming rules</w:t>
      </w:r>
    </w:p>
    <w:p>
      <w:pPr>
        <w:pStyle w:val="ListBullet"/>
      </w:pPr>
      <w:r>
        <w:t>azapi used for containers to avoid azurerm provider drift on container public access attribute</w:t>
      </w:r>
    </w:p>
    <w:p>
      <w:pPr>
        <w:pStyle w:val="Heading3"/>
        <w:jc w:val="left"/>
      </w:pPr>
      <w:r>
        <w:t>Issues Found</w:t>
      </w:r>
    </w:p>
    <w:p>
      <w:pPr>
        <w:pStyle w:val="ListBullet"/>
      </w:pPr>
      <w:r>
        <w:t>shared_access_key_enabled defaults to TRUE — this is insecure for net-new workloads. The default should be false and callers must explicitly opt-in for legacy compatibility (Function App runtime storage)</w:t>
      </w:r>
    </w:p>
    <w:p>
      <w:pPr>
        <w:pStyle w:val="ListBullet"/>
      </w:pPr>
      <w:r>
        <w:t>azapi dependency (azure/azapi ~&gt; 2.3) is only declared in modules/storage/versions.tf but the global versions.tf in stacks/dev/workloads does not include it — this causes provider not registered errors in stacks that don't explicitly configure azapi</w:t>
      </w:r>
    </w:p>
    <w:p>
      <w:pPr>
        <w:pStyle w:val="ListBullet"/>
      </w:pPr>
      <w:r>
        <w:t>No table or queue resource creation — callers must use separate data sources or inline resources</w:t>
      </w:r>
    </w:p>
    <w:p>
      <w:pPr>
        <w:pStyle w:val="ListBullet"/>
      </w:pPr>
      <w:r>
        <w:t>No static_website block — common for SPA hosting</w:t>
      </w:r>
    </w:p>
    <w:p>
      <w:pPr>
        <w:pStyle w:val="ListBullet"/>
      </w:pPr>
      <w:r>
        <w:t>No lifecycle rules for blob tiering (hot → cool → archive) — cost optimization</w:t>
      </w:r>
    </w:p>
    <w:p>
      <w:pPr>
        <w:pStyle w:val="ListBullet"/>
      </w:pPr>
      <w:r>
        <w:t>account_replication_type defaults to GRS — correct for prod but over-engineered for dev; no per-environment guidance</w:t>
      </w:r>
    </w:p>
    <w:p>
      <w:pPr>
        <w:pStyle w:val="ListBullet"/>
      </w:pPr>
      <w:r>
        <w:t>No customer_managed_key block in the storage module itself — CMK must be wired entirely by the caller stack</w:t>
      </w:r>
    </w:p>
    <w:p>
      <w:pPr>
        <w:pStyle w:val="Heading3"/>
        <w:jc w:val="left"/>
      </w:pPr>
      <w:r>
        <w:t>Recommended Actions</w:t>
      </w:r>
    </w:p>
    <w:p>
      <w:pPr>
        <w:pStyle w:val="ListBullet"/>
      </w:pPr>
      <w:r>
        <w:t>Change shared_access_key_enabled default to FALSE</w:t>
      </w:r>
    </w:p>
    <w:p>
      <w:pPr>
        <w:pStyle w:val="ListBullet"/>
      </w:pPr>
      <w:r>
        <w:t>Add versions.tf to all global stacks explicitly requiring azapi provider</w:t>
      </w:r>
    </w:p>
    <w:p>
      <w:pPr>
        <w:pStyle w:val="ListBullet"/>
      </w:pPr>
      <w:r>
        <w:t>Add optional tables variable (map of table names) using azapi or azurerm_storage_table</w:t>
      </w:r>
    </w:p>
    <w:p>
      <w:pPr>
        <w:pStyle w:val="ListBullet"/>
      </w:pPr>
      <w:r>
        <w:t>Add optional queues variable</w:t>
      </w:r>
    </w:p>
    <w:p>
      <w:pPr>
        <w:pStyle w:val="ListBullet"/>
      </w:pPr>
      <w:r>
        <w:t>Add optional static_website block</w:t>
      </w:r>
    </w:p>
    <w:p>
      <w:pPr>
        <w:pStyle w:val="ListBullet"/>
      </w:pPr>
      <w:r>
        <w:t>Add optional lifecycle_rules variable as list(object({...}))</w:t>
      </w:r>
    </w:p>
    <w:p>
      <w:pPr>
        <w:pStyle w:val="ListBullet"/>
      </w:pPr>
      <w:r>
        <w:t>Add optional customer_managed_key block with identity support</w:t>
      </w:r>
    </w:p>
    <w:p/>
    <w:p>
      <w:pPr>
        <w:pStyle w:val="Heading2"/>
        <w:jc w:val="left"/>
      </w:pPr>
      <w:r>
        <w:t>3.9 sql-database</w:t>
      </w:r>
    </w:p>
    <w:p>
      <w:r>
        <w:rPr>
          <w:b/>
        </w:rPr>
        <w:t xml:space="preserve">Verdict: </w:t>
      </w:r>
      <w:r>
        <w:rPr>
          <w:b/>
          <w:color w:val="BF5000"/>
        </w:rPr>
        <w:t xml:space="preserve"> [ADJUST]</w:t>
      </w:r>
    </w:p>
    <w:p>
      <w:pPr>
        <w:pStyle w:val="Heading3"/>
        <w:jc w:val="left"/>
      </w:pPr>
      <w:r>
        <w:t>What Works Well</w:t>
      </w:r>
    </w:p>
    <w:p>
      <w:pPr>
        <w:pStyle w:val="ListBullet"/>
      </w:pPr>
      <w:r>
        <w:t>azuread_authentication_only defaults to true — eliminates SQL username/password attack surface</w:t>
      </w:r>
    </w:p>
    <w:p>
      <w:pPr>
        <w:pStyle w:val="ListBullet"/>
      </w:pPr>
      <w:r>
        <w:t>public_network_access_enabled defaults to false — correct</w:t>
      </w:r>
    </w:p>
    <w:p>
      <w:pPr>
        <w:pStyle w:val="ListBullet"/>
      </w:pPr>
      <w:r>
        <w:t>minimum_tls_version defaults to 1.2 — compliant</w:t>
      </w:r>
    </w:p>
    <w:p>
      <w:pPr>
        <w:pStyle w:val="ListBullet"/>
      </w:pPr>
      <w:r>
        <w:t>Dual auditing paths: Log Analytics (preferred) vs storage key (legacy) with clear inline comments explaining why storage key should NOT be used</w:t>
      </w:r>
    </w:p>
    <w:p>
      <w:pPr>
        <w:pStyle w:val="ListBullet"/>
      </w:pPr>
      <w:r>
        <w:t>zone_redundant hardcoded to true and ledger_enabled hardcoded to true for all databases — excellent finserv defaults</w:t>
      </w:r>
    </w:p>
    <w:p>
      <w:pPr>
        <w:pStyle w:val="ListBullet"/>
      </w:pPr>
      <w:r>
        <w:t>Checkov skip annotation on private endpoints correctly defers to caller stack</w:t>
      </w:r>
    </w:p>
    <w:p>
      <w:pPr>
        <w:pStyle w:val="Heading3"/>
        <w:jc w:val="left"/>
      </w:pPr>
      <w:r>
        <w:t>Issues Found</w:t>
      </w:r>
    </w:p>
    <w:p>
      <w:pPr>
        <w:pStyle w:val="ListBullet"/>
      </w:pPr>
      <w:r>
        <w:t>databases = map(any) — no schema validation. Callers have no IDE or plan-time feedback on valid database properties (sku_name, max_size_gb, collation, read_scale, zone_redundant, ledger_enabled). Valid properties can only be discovered by reading main.tf</w:t>
      </w:r>
    </w:p>
    <w:p>
      <w:pPr>
        <w:pStyle w:val="ListBullet"/>
      </w:pPr>
      <w:r>
        <w:t>Transparent Data Encryption (TDE) is not exposed — it defaults on in Azure but CMK-backed TDE (customer-managed) is a finserv requirement and there is no variable for it</w:t>
      </w:r>
    </w:p>
    <w:p>
      <w:pPr>
        <w:pStyle w:val="ListBullet"/>
      </w:pPr>
      <w:r>
        <w:t>No azurerm_mssql_server_vulnerability_assessment block — required for defender for SQL</w:t>
      </w:r>
    </w:p>
    <w:p>
      <w:pPr>
        <w:pStyle w:val="ListBullet"/>
      </w:pPr>
      <w:r>
        <w:t>No azurerm_mssql_firewall_rule or virtual_network_rule — for break-glass or migration scenarios callers have no escape hatch</w:t>
      </w:r>
    </w:p>
    <w:p>
      <w:pPr>
        <w:pStyle w:val="ListBullet"/>
      </w:pPr>
      <w:r>
        <w:t>Both count-based auditing resources (log_analytics and storage_key) can be simultaneously active which creates duplicate audit streams</w:t>
      </w:r>
    </w:p>
    <w:p>
      <w:pPr>
        <w:pStyle w:val="Heading3"/>
        <w:jc w:val="left"/>
      </w:pPr>
      <w:r>
        <w:t>Recommended Actions</w:t>
      </w:r>
    </w:p>
    <w:p>
      <w:pPr>
        <w:pStyle w:val="ListBullet"/>
      </w:pPr>
      <w:r>
        <w:t>Change databases to map(object({sku_name=optional(string,GP_S_Gen5_2), max_size_gb=optional(number,32), collation=optional(string), read_scale=optional(bool,false)})) with proper optional() typing</w:t>
      </w:r>
    </w:p>
    <w:p>
      <w:pPr>
        <w:pStyle w:val="ListBullet"/>
      </w:pPr>
      <w:r>
        <w:t>Add transparent_data_encryption_key_vault_key_id optional variable</w:t>
      </w:r>
    </w:p>
    <w:p>
      <w:pPr>
        <w:pStyle w:val="ListBullet"/>
      </w:pPr>
      <w:r>
        <w:t>Add vulnerability_assessment block tied to a storage container</w:t>
      </w:r>
    </w:p>
    <w:p>
      <w:pPr>
        <w:pStyle w:val="ListBullet"/>
      </w:pPr>
      <w:r>
        <w:t>Add firewall_rules optional variable for break-glass access</w:t>
      </w:r>
    </w:p>
    <w:p>
      <w:pPr>
        <w:pStyle w:val="ListBullet"/>
      </w:pPr>
      <w:r>
        <w:t>Add count guard so log_analytics and storage_key auditing are mutually exclusive</w:t>
      </w:r>
    </w:p>
    <w:p/>
    <w:p>
      <w:pPr>
        <w:pStyle w:val="Heading2"/>
        <w:jc w:val="left"/>
      </w:pPr>
      <w:r>
        <w:t>3.10 cosmosdb</w:t>
      </w:r>
    </w:p>
    <w:p>
      <w:r>
        <w:rPr>
          <w:b/>
        </w:rPr>
        <w:t xml:space="preserve">Verdict: </w:t>
      </w:r>
      <w:r>
        <w:rPr>
          <w:b/>
          <w:color w:val="BF5000"/>
        </w:rPr>
        <w:t xml:space="preserve"> [ADJUST]</w:t>
      </w:r>
    </w:p>
    <w:p>
      <w:pPr>
        <w:pStyle w:val="Heading3"/>
        <w:jc w:val="left"/>
      </w:pPr>
      <w:r>
        <w:t>What Works Well</w:t>
      </w:r>
    </w:p>
    <w:p>
      <w:pPr>
        <w:pStyle w:val="ListBullet"/>
      </w:pPr>
      <w:r>
        <w:t>local_authentication_disabled defaults to true — AAD-only access</w:t>
      </w:r>
    </w:p>
    <w:p>
      <w:pPr>
        <w:pStyle w:val="ListBullet"/>
      </w:pPr>
      <w:r>
        <w:t>access_key_metadata_writes_enabled defaults to false — reduces key exposure</w:t>
      </w:r>
    </w:p>
    <w:p>
      <w:pPr>
        <w:pStyle w:val="ListBullet"/>
      </w:pPr>
      <w:r>
        <w:t>minimal_tls_version defaults to Tls12</w:t>
      </w:r>
    </w:p>
    <w:p>
      <w:pPr>
        <w:pStyle w:val="ListBullet"/>
      </w:pPr>
      <w:r>
        <w:t>Backup type defaults to Continuous — better RPO than Periodic</w:t>
      </w:r>
    </w:p>
    <w:p>
      <w:pPr>
        <w:pStyle w:val="ListBullet"/>
      </w:pPr>
      <w:r>
        <w:t>Identity and CMK both supported via dynamic blocks</w:t>
      </w:r>
    </w:p>
    <w:p>
      <w:pPr>
        <w:pStyle w:val="ListBullet"/>
      </w:pPr>
      <w:r>
        <w:t>geo_location dynamic block correctly computes failover_priority from list index</w:t>
      </w:r>
    </w:p>
    <w:p>
      <w:pPr>
        <w:pStyle w:val="Heading3"/>
        <w:jc w:val="left"/>
      </w:pPr>
      <w:r>
        <w:t>Issues Found</w:t>
      </w:r>
    </w:p>
    <w:p>
      <w:pPr>
        <w:pStyle w:val="ListBullet"/>
      </w:pPr>
      <w:r>
        <w:t>is_virtual_network_filter_enabled defaults to false — when public_network_access_enabled=false (the default), this flag should automatically be true to enforce virtual network restrictions, otherwise the resource can be in an inconsistent state</w:t>
      </w:r>
    </w:p>
    <w:p>
      <w:pPr>
        <w:pStyle w:val="ListBullet"/>
      </w:pPr>
      <w:r>
        <w:t>No azurerm_cosmosdb_sql_container or azurerm_cosmosdb_sql_database resources — callers must create these separately with no module support</w:t>
      </w:r>
    </w:p>
    <w:p>
      <w:pPr>
        <w:pStyle w:val="ListBullet"/>
      </w:pPr>
      <w:r>
        <w:t>No network_acl block — IP filtering for specific CIDR ranges not exposed</w:t>
      </w:r>
    </w:p>
    <w:p>
      <w:pPr>
        <w:pStyle w:val="ListBullet"/>
      </w:pPr>
      <w:r>
        <w:t>kind only supports GlobalDocumentDB and MongoDB options exist but no validation</w:t>
      </w:r>
    </w:p>
    <w:p>
      <w:pPr>
        <w:pStyle w:val="ListBullet"/>
      </w:pPr>
      <w:r>
        <w:t>Outputs file missing collection-level IDs (there is no way to reference container or database IDs from module outputs)</w:t>
      </w:r>
    </w:p>
    <w:p>
      <w:pPr>
        <w:pStyle w:val="Heading3"/>
        <w:jc w:val="left"/>
      </w:pPr>
      <w:r>
        <w:t>Recommended Actions</w:t>
      </w:r>
    </w:p>
    <w:p>
      <w:pPr>
        <w:pStyle w:val="ListBullet"/>
      </w:pPr>
      <w:r>
        <w:t>Add precondition: when public_network_access_enabled=false, require is_virtual_network_filter_enabled=true</w:t>
      </w:r>
    </w:p>
    <w:p>
      <w:pPr>
        <w:pStyle w:val="ListBullet"/>
      </w:pPr>
      <w:r>
        <w:t>Add optional sql_databases variable as map(object({ containers = map(object({...})) })) for container provisioning</w:t>
      </w:r>
    </w:p>
    <w:p>
      <w:pPr>
        <w:pStyle w:val="ListBullet"/>
      </w:pPr>
      <w:r>
        <w:t>Add network_acl_ip_rules variable</w:t>
      </w:r>
    </w:p>
    <w:p>
      <w:pPr>
        <w:pStyle w:val="ListBullet"/>
      </w:pPr>
      <w:r>
        <w:t>Add kind validation: contains([GlobalDocumentDB, MongoDB, Parse, Table, Cassandra, Gremlin])</w:t>
      </w:r>
    </w:p>
    <w:p>
      <w:pPr>
        <w:pStyle w:val="ListBullet"/>
      </w:pPr>
      <w:r>
        <w:t>Expand outputs to include database and container IDs</w:t>
      </w:r>
    </w:p>
    <w:p/>
    <w:p>
      <w:pPr>
        <w:pStyle w:val="Heading2"/>
        <w:jc w:val="left"/>
      </w:pPr>
      <w:r>
        <w:t>3.11 naming</w:t>
      </w:r>
    </w:p>
    <w:p>
      <w:r>
        <w:rPr>
          <w:b/>
        </w:rPr>
        <w:t xml:space="preserve">Verdict: </w:t>
      </w:r>
      <w:r>
        <w:rPr>
          <w:b/>
          <w:color w:val="C00000"/>
        </w:rPr>
        <w:t xml:space="preserve"> [REWRITE]</w:t>
      </w:r>
    </w:p>
    <w:p>
      <w:pPr>
        <w:pStyle w:val="Heading3"/>
        <w:jc w:val="left"/>
      </w:pPr>
      <w:r>
        <w:t>What Works Well</w:t>
      </w:r>
    </w:p>
    <w:p>
      <w:pPr>
        <w:pStyle w:val="ListBullet"/>
      </w:pPr>
      <w:r>
        <w:t>Random suffix prevents global naming conflicts for storage accounts and key vaults</w:t>
      </w:r>
    </w:p>
    <w:p>
      <w:pPr>
        <w:pStyle w:val="ListBullet"/>
      </w:pPr>
      <w:r>
        <w:t>Enforces naming conventions for common resources (rg, vnet, law, kv, sa)</w:t>
      </w:r>
    </w:p>
    <w:p>
      <w:pPr>
        <w:pStyle w:val="ListBullet"/>
      </w:pPr>
      <w:r>
        <w:t>Storage account name strips invalid characters and truncates to 24 chars</w:t>
      </w:r>
    </w:p>
    <w:p>
      <w:pPr>
        <w:pStyle w:val="ListBullet"/>
      </w:pPr>
      <w:r>
        <w:t>Key Vault strips invalid characters and truncates to 24 chars</w:t>
      </w:r>
    </w:p>
    <w:p>
      <w:pPr>
        <w:pStyle w:val="Heading3"/>
        <w:jc w:val="left"/>
      </w:pPr>
      <w:r>
        <w:t>Issues Found</w:t>
      </w:r>
    </w:p>
    <w:p>
      <w:pPr>
        <w:pStyle w:val="ListBullet"/>
      </w:pPr>
      <w:r>
        <w:t>random_string.suffix generates a NEW value on every workspace init where no state exists — if state is lost or migrated, ALL resource names change, causing destructive drift on all named resources</w:t>
      </w:r>
    </w:p>
    <w:p>
      <w:pPr>
        <w:pStyle w:val="ListBullet"/>
      </w:pPr>
      <w:r>
        <w:t>No keepers argument on random_string — callers cannot anchor the suffix to a stable value</w:t>
      </w:r>
    </w:p>
    <w:p>
      <w:pPr>
        <w:pStyle w:val="ListBullet"/>
      </w:pPr>
      <w:r>
        <w:t>Only 6 resource types covered (rg, vnet_hub, vnet_spoke, law, kv, sa) — no names for AKS, APIM, App Service, SQL, CosmosDB, Service Bus, ACR, Bastion, Firewall, etc.</w:t>
      </w:r>
    </w:p>
    <w:p>
      <w:pPr>
        <w:pStyle w:val="ListBullet"/>
      </w:pPr>
      <w:r>
        <w:t>Outputs are defined directly in main.tf instead of outputs.tf — violates standard module structure</w:t>
      </w:r>
    </w:p>
    <w:p>
      <w:pPr>
        <w:pStyle w:val="ListBullet"/>
      </w:pPr>
      <w:r>
        <w:t>No location_short validation or lookup table — callers can pass invalid values</w:t>
      </w:r>
    </w:p>
    <w:p>
      <w:pPr>
        <w:pStyle w:val="ListBullet"/>
      </w:pPr>
      <w:r>
        <w:t>No environment validation — passing invalid environment codes silently creates malformed names</w:t>
      </w:r>
    </w:p>
    <w:p>
      <w:pPr>
        <w:pStyle w:val="ListBullet"/>
      </w:pPr>
      <w:r>
        <w:t>prefix variable has no description</w:t>
      </w:r>
    </w:p>
    <w:p>
      <w:pPr>
        <w:pStyle w:val="Heading3"/>
        <w:jc w:val="left"/>
      </w:pPr>
      <w:r>
        <w:t>Recommended Actions</w:t>
      </w:r>
    </w:p>
    <w:p>
      <w:pPr>
        <w:pStyle w:val="ListBullet"/>
      </w:pPr>
      <w:r>
        <w:t>Add keepers = { prefix = var.prefix, environment = var.environment, service = var.service } to random_string to anchor the suffix to meaningful inputs</w:t>
      </w:r>
    </w:p>
    <w:p>
      <w:pPr>
        <w:pStyle w:val="ListBullet"/>
      </w:pPr>
      <w:r>
        <w:t>Expand outputs to cover all resource types in the module library: aks, apim, appgw, appconfig, acr, sql, cosmos, sb, bastion, fw, nat, pip</w:t>
      </w:r>
    </w:p>
    <w:p>
      <w:pPr>
        <w:pStyle w:val="ListBullet"/>
      </w:pPr>
      <w:r>
        <w:t>Add location_short validation or a lookup map from full region name to short code</w:t>
      </w:r>
    </w:p>
    <w:p>
      <w:pPr>
        <w:pStyle w:val="ListBullet"/>
      </w:pPr>
      <w:r>
        <w:t>Move all outputs to outputs.tf</w:t>
      </w:r>
    </w:p>
    <w:p>
      <w:pPr>
        <w:pStyle w:val="ListBullet"/>
      </w:pPr>
      <w:r>
        <w:t>Add description to all variables</w:t>
      </w:r>
    </w:p>
    <w:p>
      <w:pPr>
        <w:pStyle w:val="ListBullet"/>
      </w:pPr>
      <w:r>
        <w:t>Document that the random suffix is NOT suitable for resources requiring global uniqueness beyond storage/kv (e.g., APIM gateway URLs)</w:t>
      </w:r>
    </w:p>
    <w:p/>
    <w:p>
      <w:pPr>
        <w:pStyle w:val="Heading2"/>
        <w:jc w:val="left"/>
      </w:pPr>
      <w:r>
        <w:t>3.12 management_groups</w:t>
      </w:r>
    </w:p>
    <w:p>
      <w:r>
        <w:rPr>
          <w:b/>
        </w:rPr>
        <w:t xml:space="preserve">Verdict: </w:t>
      </w:r>
      <w:r>
        <w:rPr>
          <w:b/>
          <w:color w:val="BF5000"/>
        </w:rPr>
        <w:t xml:space="preserve"> [ADJUST]</w:t>
      </w:r>
    </w:p>
    <w:p>
      <w:pPr>
        <w:pStyle w:val="Heading3"/>
        <w:jc w:val="left"/>
      </w:pPr>
      <w:r>
        <w:t>What Works Well</w:t>
      </w:r>
    </w:p>
    <w:p>
      <w:pPr>
        <w:pStyle w:val="ListBullet"/>
      </w:pPr>
      <w:r>
        <w:t>Full ALZ-aligned hierarchy: Platform (Connectivity, Management, Identity, Security) + Landing Zones (Prod, Nonprod, Sandbox, Decommissioned)</w:t>
      </w:r>
    </w:p>
    <w:p>
      <w:pPr>
        <w:pStyle w:val="ListBullet"/>
      </w:pPr>
      <w:r>
        <w:t>Subscription associations use a clean flatten → for_each pattern</w:t>
      </w:r>
    </w:p>
    <w:p>
      <w:pPr>
        <w:pStyle w:val="ListBullet"/>
      </w:pPr>
      <w:r>
        <w:t>subscriptions_by_group variable allows declarative subscription placement without hardcoding</w:t>
      </w:r>
    </w:p>
    <w:p>
      <w:pPr>
        <w:pStyle w:val="ListBullet"/>
      </w:pPr>
      <w:r>
        <w:t>management_group_lookup local maps friendly keys to resource IDs for clean subscription association</w:t>
      </w:r>
    </w:p>
    <w:p>
      <w:pPr>
        <w:pStyle w:val="Heading3"/>
        <w:jc w:val="left"/>
      </w:pPr>
      <w:r>
        <w:t>Issues Found</w:t>
      </w:r>
    </w:p>
    <w:p>
      <w:pPr>
        <w:pStyle w:val="ListBullet"/>
      </w:pPr>
      <w:r>
        <w:t>The management group hierarchy is COMPLETELY HARDCODED in main.tf — organizations with different structures (e.g., needing a Regulated, a Shared-Services, or a DevTest group) cannot adapt without forking the module</w:t>
      </w:r>
    </w:p>
    <w:p>
      <w:pPr>
        <w:pStyle w:val="ListBullet"/>
      </w:pPr>
      <w:r>
        <w:t>The subscriptions_by_group keys must exactly match the hardcoded group names (platform, connectivity, management, identity, security, landing_zones, prod, nonprod, sandbox, decommissioned) — there is no validation and invalid keys silently do nothing</w:t>
      </w:r>
    </w:p>
    <w:p>
      <w:pPr>
        <w:pStyle w:val="ListBullet"/>
      </w:pPr>
      <w:r>
        <w:t>No management group policy assignment support — the module only creates groups and associations</w:t>
      </w:r>
    </w:p>
    <w:p>
      <w:pPr>
        <w:pStyle w:val="ListBullet"/>
      </w:pPr>
      <w:r>
        <w:t>display_name_prefix is not configurable per-group — all display names follow the same prefix pattern</w:t>
      </w:r>
    </w:p>
    <w:p>
      <w:pPr>
        <w:pStyle w:val="Heading3"/>
        <w:jc w:val="left"/>
      </w:pPr>
      <w:r>
        <w:t>Recommended Actions</w:t>
      </w:r>
    </w:p>
    <w:p>
      <w:pPr>
        <w:pStyle w:val="ListBullet"/>
      </w:pPr>
      <w:r>
        <w:t>Add additional_management_groups variable as map(object({display_name=string, parent_key=string})) for custom groups</w:t>
      </w:r>
    </w:p>
    <w:p>
      <w:pPr>
        <w:pStyle w:val="ListBullet"/>
      </w:pPr>
      <w:r>
        <w:t>Add validation on subscriptions_by_group keys against known valid group names</w:t>
      </w:r>
    </w:p>
    <w:p>
      <w:pPr>
        <w:pStyle w:val="ListBullet"/>
      </w:pPr>
      <w:r>
        <w:t>Add outputs for management group IDs keyed by their alias so policy_assignment module can reference them</w:t>
      </w:r>
    </w:p>
    <w:p/>
    <w:p>
      <w:pPr>
        <w:pStyle w:val="Heading2"/>
        <w:jc w:val="left"/>
      </w:pPr>
      <w:r>
        <w:t>3.13 platform-tags</w:t>
      </w:r>
    </w:p>
    <w:p>
      <w:r>
        <w:rPr>
          <w:b/>
        </w:rPr>
        <w:t xml:space="preserve">Verdict: </w:t>
      </w:r>
      <w:r>
        <w:rPr>
          <w:b/>
          <w:color w:val="007000"/>
        </w:rPr>
        <w:t xml:space="preserve"> [KEEP]</w:t>
      </w:r>
    </w:p>
    <w:p>
      <w:pPr>
        <w:pStyle w:val="Heading3"/>
        <w:jc w:val="left"/>
      </w:pPr>
      <w:r>
        <w:t>What Works Well</w:t>
      </w:r>
    </w:p>
    <w:p>
      <w:pPr>
        <w:pStyle w:val="ListBullet"/>
      </w:pPr>
      <w:r>
        <w:t>Mandatory vs optional tags cleanly separated — required tags always present, optional only added if non-null</w:t>
      </w:r>
    </w:p>
    <w:p>
      <w:pPr>
        <w:pStyle w:val="ListBullet"/>
      </w:pPr>
      <w:r>
        <w:t>additional_tags merge allows callers to add context-specific tags without modifying the module</w:t>
      </w:r>
    </w:p>
    <w:p>
      <w:pPr>
        <w:pStyle w:val="ListBullet"/>
      </w:pPr>
      <w:r>
        <w:t>creation_date_utc and last_modified_utc explicitly documented as optional external timestamps</w:t>
      </w:r>
    </w:p>
    <w:p>
      <w:pPr>
        <w:pStyle w:val="ListBullet"/>
      </w:pPr>
      <w:r>
        <w:t>compliance_boundary and data_classification have sensible finserv defaults</w:t>
      </w:r>
    </w:p>
    <w:p>
      <w:pPr>
        <w:pStyle w:val="ListBullet"/>
      </w:pPr>
      <w:r>
        <w:t>All tag keys standardized (no mixed case, no spaces) — prevents Azure Policy tag evaluation issues</w:t>
      </w:r>
    </w:p>
    <w:p>
      <w:pPr>
        <w:pStyle w:val="Heading3"/>
        <w:jc w:val="left"/>
      </w:pPr>
      <w:r>
        <w:t>Issues Found</w:t>
      </w:r>
    </w:p>
    <w:p>
      <w:pPr>
        <w:pStyle w:val="ListBullet"/>
      </w:pPr>
      <w:r>
        <w:t>output and locals are both defined in main.tf — outputs should be in outputs.tf per Terraform convention</w:t>
      </w:r>
    </w:p>
    <w:p>
      <w:pPr>
        <w:pStyle w:val="ListBullet"/>
      </w:pPr>
      <w:r>
        <w:t>No validation on environment values — callers can pass arbitrary strings; a validation list(np1, np2, np3, prod, shared) would prevent typos</w:t>
      </w:r>
    </w:p>
    <w:p>
      <w:pPr>
        <w:pStyle w:val="ListBullet"/>
      </w:pPr>
      <w:r>
        <w:t>creation_date_utc with ignore_changes is recommended in the module description but not enforced — callers may accidentally allow it to drift</w:t>
      </w:r>
    </w:p>
    <w:p>
      <w:pPr>
        <w:pStyle w:val="ListBullet"/>
      </w:pPr>
      <w:r>
        <w:t>No tag for subscription_id or resource_group — useful for cross-subscription cost attribution</w:t>
      </w:r>
    </w:p>
    <w:p>
      <w:pPr>
        <w:pStyle w:val="Heading3"/>
        <w:jc w:val="left"/>
      </w:pPr>
      <w:r>
        <w:t>Recommended Actions</w:t>
      </w:r>
    </w:p>
    <w:p>
      <w:pPr>
        <w:pStyle w:val="ListBullet"/>
      </w:pPr>
      <w:r>
        <w:t>Move output tags to outputs.tf</w:t>
      </w:r>
    </w:p>
    <w:p>
      <w:pPr>
        <w:pStyle w:val="ListBullet"/>
      </w:pPr>
      <w:r>
        <w:t>Add validation on environment variable</w:t>
      </w:r>
    </w:p>
    <w:p>
      <w:pPr>
        <w:pStyle w:val="ListBullet"/>
      </w:pPr>
      <w:r>
        <w:t>Add optional subscription_id and resource_group tag variables</w:t>
      </w:r>
    </w:p>
    <w:p/>
    <w:p>
      <w:pPr>
        <w:pStyle w:val="Heading2"/>
        <w:jc w:val="left"/>
      </w:pPr>
      <w:r>
        <w:t>3.14 log-analytics / observability</w:t>
      </w:r>
    </w:p>
    <w:p>
      <w:r>
        <w:rPr>
          <w:b/>
        </w:rPr>
        <w:t xml:space="preserve">Verdict: </w:t>
      </w:r>
      <w:r>
        <w:rPr>
          <w:b/>
          <w:color w:val="BF5000"/>
        </w:rPr>
        <w:t xml:space="preserve"> [ADJUST]</w:t>
      </w:r>
    </w:p>
    <w:p>
      <w:pPr>
        <w:pStyle w:val="Heading3"/>
        <w:jc w:val="left"/>
      </w:pPr>
      <w:r>
        <w:t>What Works Well</w:t>
      </w:r>
    </w:p>
    <w:p>
      <w:pPr>
        <w:pStyle w:val="ListBullet"/>
      </w:pPr>
      <w:r>
        <w:t>Both modules correctly create workspaces with configurable retention</w:t>
      </w:r>
    </w:p>
    <w:p>
      <w:pPr>
        <w:pStyle w:val="ListBullet"/>
      </w:pPr>
      <w:r>
        <w:t>Application Insights created with workspace-based mode (workspace_id) — not classic (deprecated)</w:t>
      </w:r>
    </w:p>
    <w:p>
      <w:pPr>
        <w:pStyle w:val="ListBullet"/>
      </w:pPr>
      <w:r>
        <w:t>observability module exports instrumentation_key (sensitive) and connection_string — both needed</w:t>
      </w:r>
    </w:p>
    <w:p>
      <w:pPr>
        <w:pStyle w:val="Heading3"/>
        <w:jc w:val="left"/>
      </w:pPr>
      <w:r>
        <w:t>Issues Found</w:t>
      </w:r>
    </w:p>
    <w:p>
      <w:pPr>
        <w:pStyle w:val="ListBullet"/>
      </w:pPr>
      <w:r>
        <w:t>TWO MODULES do effectively the same thing: log-analytics and observability both create a Log Analytics workspace + optional App Insights. This creates confusion about which to use and results in drift when one module gets updated but the other does not</w:t>
      </w:r>
    </w:p>
    <w:p>
      <w:pPr>
        <w:pStyle w:val="ListBullet"/>
      </w:pPr>
      <w:r>
        <w:t>Neither module exposes data_export_rules for exporting to Event Hub or storage for SIEM integration</w:t>
      </w:r>
    </w:p>
    <w:p>
      <w:pPr>
        <w:pStyle w:val="ListBullet"/>
      </w:pPr>
      <w:r>
        <w:t>No solutions variable — callers cannot enable workspace solutions (AzureActivity, SecurityCenter, etc.) without inline resources</w:t>
      </w:r>
    </w:p>
    <w:p>
      <w:pPr>
        <w:pStyle w:val="ListBullet"/>
      </w:pPr>
      <w:r>
        <w:t>Retention defaults (30 days in one, not specified in other) are inconsistent between modules</w:t>
      </w:r>
    </w:p>
    <w:p>
      <w:pPr>
        <w:pStyle w:val="Heading3"/>
        <w:jc w:val="left"/>
      </w:pPr>
      <w:r>
        <w:t>Recommended Actions</w:t>
      </w:r>
    </w:p>
    <w:p>
      <w:pPr>
        <w:pStyle w:val="ListBullet"/>
      </w:pPr>
      <w:r>
        <w:t>MERGE log-analytics and observability into a single observability module</w:t>
      </w:r>
    </w:p>
    <w:p>
      <w:pPr>
        <w:pStyle w:val="ListBullet"/>
      </w:pPr>
      <w:r>
        <w:t>Add enable_app_insights bool (default true) to the merged module</w:t>
      </w:r>
    </w:p>
    <w:p>
      <w:pPr>
        <w:pStyle w:val="ListBullet"/>
      </w:pPr>
      <w:r>
        <w:t>Add data_export_rules optional variable for Event Hub / storage export</w:t>
      </w:r>
    </w:p>
    <w:p>
      <w:pPr>
        <w:pStyle w:val="ListBullet"/>
      </w:pPr>
      <w:r>
        <w:t>Add solutions variable as list of solution names</w:t>
      </w:r>
    </w:p>
    <w:p>
      <w:pPr>
        <w:pStyle w:val="ListBullet"/>
      </w:pPr>
      <w:r>
        <w:t>Standardize retention to 90 days for finserv compliance</w:t>
      </w:r>
    </w:p>
    <w:p/>
    <w:p>
      <w:pPr>
        <w:pStyle w:val="Heading2"/>
        <w:jc w:val="left"/>
      </w:pPr>
      <w:r>
        <w:t>3.15 diagnostics-1</w:t>
      </w:r>
    </w:p>
    <w:p>
      <w:r>
        <w:rPr>
          <w:b/>
        </w:rPr>
        <w:t xml:space="preserve">Verdict: </w:t>
      </w:r>
      <w:r>
        <w:rPr>
          <w:b/>
          <w:color w:val="BF5000"/>
        </w:rPr>
        <w:t xml:space="preserve"> [ADJUST]</w:t>
      </w:r>
    </w:p>
    <w:p>
      <w:pPr>
        <w:pStyle w:val="Heading3"/>
        <w:jc w:val="left"/>
      </w:pPr>
      <w:r>
        <w:t>What Works Well</w:t>
      </w:r>
    </w:p>
    <w:p>
      <w:pPr>
        <w:pStyle w:val="ListBullet"/>
      </w:pPr>
      <w:r>
        <w:t>Clean generic diagnostic setting — works for any resource type via target_resource_id</w:t>
      </w:r>
    </w:p>
    <w:p>
      <w:pPr>
        <w:pStyle w:val="ListBullet"/>
      </w:pPr>
      <w:r>
        <w:t>enabled_logs and enabled_metrics as list variables allow callers to specify exactly what to enable</w:t>
      </w:r>
    </w:p>
    <w:p>
      <w:pPr>
        <w:pStyle w:val="Heading3"/>
        <w:jc w:val="left"/>
      </w:pPr>
      <w:r>
        <w:t>Issues Found</w:t>
      </w:r>
    </w:p>
    <w:p>
      <w:pPr>
        <w:pStyle w:val="ListBullet"/>
      </w:pPr>
      <w:r>
        <w:t>Missing outputs.tf entirely — callers cannot reference the diagnostic setting ID</w:t>
      </w:r>
    </w:p>
    <w:p>
      <w:pPr>
        <w:pStyle w:val="ListBullet"/>
      </w:pPr>
      <w:r>
        <w:t>Module name diagnostics-1 implies there may be a diagnostics-2 — this is confusing. The -1 suffix should be removed</w:t>
      </w:r>
    </w:p>
    <w:p>
      <w:pPr>
        <w:pStyle w:val="ListBullet"/>
      </w:pPr>
      <w:r>
        <w:t>No retention_policy support — Azure Monitor has deprecated log retention in diagnostic settings but callers may still need it for backwards compatibility</w:t>
      </w:r>
    </w:p>
    <w:p>
      <w:pPr>
        <w:pStyle w:val="ListBullet"/>
      </w:pPr>
      <w:r>
        <w:t>No event_hub_* destination — only Log Analytics supported, but many enterprises route diagnostics to Event Hub for SIEM ingestion</w:t>
      </w:r>
    </w:p>
    <w:p>
      <w:pPr>
        <w:pStyle w:val="Heading3"/>
        <w:jc w:val="left"/>
      </w:pPr>
      <w:r>
        <w:t>Recommended Actions</w:t>
      </w:r>
    </w:p>
    <w:p>
      <w:pPr>
        <w:pStyle w:val="ListBullet"/>
      </w:pPr>
      <w:r>
        <w:t>Add outputs.tf with output diagnostic_setting_id</w:t>
      </w:r>
    </w:p>
    <w:p>
      <w:pPr>
        <w:pStyle w:val="ListBullet"/>
      </w:pPr>
      <w:r>
        <w:t>Rename to diagnostics</w:t>
      </w:r>
    </w:p>
    <w:p>
      <w:pPr>
        <w:pStyle w:val="ListBullet"/>
      </w:pPr>
      <w:r>
        <w:t>Add optional event_hub_authorization_rule_id and event_hub_name variables</w:t>
      </w:r>
    </w:p>
    <w:p>
      <w:pPr>
        <w:pStyle w:val="ListBullet"/>
      </w:pPr>
      <w:r>
        <w:t>Add optional storage_account_id variable for cold-storage audit logs</w:t>
      </w:r>
    </w:p>
    <w:p/>
    <w:p>
      <w:pPr>
        <w:pStyle w:val="Heading2"/>
        <w:jc w:val="left"/>
      </w:pPr>
      <w:r>
        <w:t>3.16 private-endpoint</w:t>
      </w:r>
    </w:p>
    <w:p>
      <w:r>
        <w:rPr>
          <w:b/>
        </w:rPr>
        <w:t xml:space="preserve">Verdict: </w:t>
      </w:r>
      <w:r>
        <w:rPr>
          <w:b/>
          <w:color w:val="BF5000"/>
        </w:rPr>
        <w:t xml:space="preserve"> [ADJUST]</w:t>
      </w:r>
    </w:p>
    <w:p>
      <w:pPr>
        <w:pStyle w:val="Heading3"/>
        <w:jc w:val="left"/>
      </w:pPr>
      <w:r>
        <w:t>What Works Well</w:t>
      </w:r>
    </w:p>
    <w:p>
      <w:pPr>
        <w:pStyle w:val="ListBullet"/>
      </w:pPr>
      <w:r>
        <w:t>Supports both with and without DNS zone group via a conditional block</w:t>
      </w:r>
    </w:p>
    <w:p>
      <w:pPr>
        <w:pStyle w:val="ListBullet"/>
      </w:pPr>
      <w:r>
        <w:t>subresource_names as list allows multi-subresource endpoints (e.g., blob + table on same storage)</w:t>
      </w:r>
    </w:p>
    <w:p>
      <w:pPr>
        <w:pStyle w:val="ListBullet"/>
      </w:pPr>
      <w:r>
        <w:t>Clean, minimal surface area</w:t>
      </w:r>
    </w:p>
    <w:p>
      <w:pPr>
        <w:pStyle w:val="Heading3"/>
        <w:jc w:val="left"/>
      </w:pPr>
      <w:r>
        <w:t>Issues Found</w:t>
      </w:r>
    </w:p>
    <w:p>
      <w:pPr>
        <w:pStyle w:val="ListBullet"/>
      </w:pPr>
      <w:r>
        <w:t>Missing outputs.tf entirely — callers cannot get the endpoint ID, NIC ID, or private IP address for use in DNS records or NSG rules</w:t>
      </w:r>
    </w:p>
    <w:p>
      <w:pPr>
        <w:pStyle w:val="ListBullet"/>
      </w:pPr>
      <w:r>
        <w:t>No custom_network_interface_name variable — Azure auto-names the NIC and callers can't control it</w:t>
      </w:r>
    </w:p>
    <w:p>
      <w:pPr>
        <w:pStyle w:val="ListBullet"/>
      </w:pPr>
      <w:r>
        <w:t>DNS zone group is always created when private_dns_zone_ids is non-empty — there is no opt-out for environments that manage DNS externally</w:t>
      </w:r>
    </w:p>
    <w:p>
      <w:pPr>
        <w:pStyle w:val="Heading3"/>
        <w:jc w:val="left"/>
      </w:pPr>
      <w:r>
        <w:t>Recommended Actions</w:t>
      </w:r>
    </w:p>
    <w:p>
      <w:pPr>
        <w:pStyle w:val="ListBullet"/>
      </w:pPr>
      <w:r>
        <w:t>Add outputs.tf: output id, output network_interface_id, output private_ip_address</w:t>
      </w:r>
    </w:p>
    <w:p>
      <w:pPr>
        <w:pStyle w:val="ListBullet"/>
      </w:pPr>
      <w:r>
        <w:t>Add optional custom_network_interface_name variable</w:t>
      </w:r>
    </w:p>
    <w:p>
      <w:pPr>
        <w:pStyle w:val="ListBullet"/>
      </w:pPr>
      <w:r>
        <w:t>Add enable_dns_zone_group bool variable for environments with external DNS management</w:t>
      </w:r>
    </w:p>
    <w:p/>
    <w:p>
      <w:pPr>
        <w:pStyle w:val="Heading2"/>
        <w:jc w:val="left"/>
      </w:pPr>
      <w:r>
        <w:t>3.17 Global Stacks (management-groups, subscriptions, role-assignments, policy, resource_grouping)</w:t>
      </w:r>
    </w:p>
    <w:p>
      <w:r>
        <w:rPr>
          <w:b/>
        </w:rPr>
        <w:t xml:space="preserve">Verdict: </w:t>
      </w:r>
      <w:r>
        <w:rPr>
          <w:b/>
          <w:color w:val="BF5000"/>
        </w:rPr>
        <w:t xml:space="preserve"> [ADJUST]</w:t>
      </w:r>
    </w:p>
    <w:p>
      <w:pPr>
        <w:pStyle w:val="Heading3"/>
        <w:jc w:val="left"/>
      </w:pPr>
      <w:r>
        <w:t>What Works Well</w:t>
      </w:r>
    </w:p>
    <w:p>
      <w:pPr>
        <w:pStyle w:val="ListBullet"/>
      </w:pPr>
      <w:r>
        <w:t>Remote state dependency chain: subscriptions → management-groups is correctly implemented with a dependency guard precondition</w:t>
      </w:r>
    </w:p>
    <w:p>
      <w:pPr>
        <w:pStyle w:val="ListBullet"/>
      </w:pPr>
      <w:r>
        <w:t>ABAC conditions on User Access Administrator role assignments prevent privilege escalation</w:t>
      </w:r>
    </w:p>
    <w:p>
      <w:pPr>
        <w:pStyle w:val="ListBullet"/>
      </w:pPr>
      <w:r>
        <w:t>Policy module creates both definitions AND assignments — atomic and auditable</w:t>
      </w:r>
    </w:p>
    <w:p>
      <w:pPr>
        <w:pStyle w:val="ListBullet"/>
      </w:pPr>
      <w:r>
        <w:t>use_subscriptions_state toggle allows standalone runs during bootstrap</w:t>
      </w:r>
    </w:p>
    <w:p>
      <w:pPr>
        <w:pStyle w:val="Heading3"/>
        <w:jc w:val="left"/>
      </w:pPr>
      <w:r>
        <w:t>Issues Found</w:t>
      </w:r>
    </w:p>
    <w:p>
      <w:pPr>
        <w:pStyle w:val="ListBullet"/>
      </w:pPr>
      <w:r>
        <w:t>Remote state variables (subscriptions_state_rg, subscriptions_state_sa, subscriptions_state_container) have hardcoded defaults pointing to rg-tfstate-dev and demotest822e — any team standing up a new environment must override 4+ variables just to bootstrap</w:t>
      </w:r>
    </w:p>
    <w:p>
      <w:pPr>
        <w:pStyle w:val="ListBullet"/>
      </w:pPr>
      <w:r>
        <w:t>Policy module creates custom policy definitions for allowed_locations and required_tags which duplicates Azure Built-in policies (e.g., Allowed locations policy ID 35534765-7173-4f51-88e6-3bfc0d0b6ba8) — this means updates to Azure's built-in definitions are not inherited</w:t>
      </w:r>
    </w:p>
    <w:p>
      <w:pPr>
        <w:pStyle w:val="ListBullet"/>
      </w:pPr>
      <w:r>
        <w:t>role-assignments global stack has hardcoded subscription_id default 65ac2b14-... in variables — this is an environment-specific value that must never be a default</w:t>
      </w:r>
    </w:p>
    <w:p>
      <w:pPr>
        <w:pStyle w:val="ListBullet"/>
      </w:pPr>
      <w:r>
        <w:t>resource_grouping uses a different file naming convention (terraform.tf instead of versions.tf) — inconsistent across the codebase</w:t>
      </w:r>
    </w:p>
    <w:p>
      <w:pPr>
        <w:pStyle w:val="ListBullet"/>
      </w:pPr>
      <w:r>
        <w:t>No backend.hcl variable file for workload stacks in dev/workloads — the backend is hardcoded in backend.tf</w:t>
      </w:r>
    </w:p>
    <w:p>
      <w:pPr>
        <w:pStyle w:val="Heading3"/>
        <w:jc w:val="left"/>
      </w:pPr>
      <w:r>
        <w:t>Recommended Actions</w:t>
      </w:r>
    </w:p>
    <w:p>
      <w:pPr>
        <w:pStyle w:val="ListBullet"/>
      </w:pPr>
      <w:r>
        <w:t>Remove all environment-specific hardcoded defaults from remote state variables — they must be required or have neutral defaults</w:t>
      </w:r>
    </w:p>
    <w:p>
      <w:pPr>
        <w:pStyle w:val="ListBullet"/>
      </w:pPr>
      <w:r>
        <w:t>Replace custom allowed_locations and required_tags definitions with azurerm_policy_definition data sources referencing Azure built-in policies</w:t>
      </w:r>
    </w:p>
    <w:p>
      <w:pPr>
        <w:pStyle w:val="ListBullet"/>
      </w:pPr>
      <w:r>
        <w:t>Standardize all stacks to use versions.tf (rename terraform.tf occurrences)</w:t>
      </w:r>
    </w:p>
    <w:p>
      <w:pPr>
        <w:pStyle w:val="ListBullet"/>
      </w:pPr>
      <w:r>
        <w:t>Add backend.hcl template per environment for parameterized backend configuration</w:t>
      </w:r>
    </w:p>
    <w:p/>
    <w:p>
      <w:r>
        <w:br w:type="page"/>
      </w:r>
    </w:p>
    <w:p>
      <w:pPr>
        <w:pStyle w:val="Heading1"/>
        <w:jc w:val="left"/>
      </w:pPr>
      <w:r>
        <w:t>4. Enterprise Structural Recommendations</w:t>
      </w:r>
    </w:p>
    <w:p>
      <w:pPr>
        <w:pStyle w:val="Heading2"/>
        <w:jc w:val="left"/>
      </w:pPr>
      <w:r>
        <w:t>4.1 Repository &amp; Registry Pattern</w:t>
      </w:r>
    </w:p>
    <w:p>
      <w:r>
        <w:t>Adopt a two-tier architecture:</w:t>
        <w:br/>
        <w:br/>
        <w:t>Tier 1 — Module Library Repo (one repo, versioned):</w:t>
        <w:br/>
        <w:t>Keep all modules in a single repo (the existing azure-enterprise-terraform structure). Tag releases with semantic versions (e.g., v2.1.0). Publish to HCP Terraform Private Module Registry. Each module becomes a separately versioned registry entry.</w:t>
        <w:br/>
        <w:br/>
        <w:t>Tier 2 — Stack Repos (one per team / workload):</w:t>
        <w:br/>
        <w:t>Each application team has their own repo containing only stacks (the stacks/ directory pattern). They reference modules from the private registry with pinned versions. No module code lives in team repos.</w:t>
        <w:br/>
        <w:br/>
        <w:t>This eliminates the per-resource workspace anti-pattern. HCP workspaces map to stacks, not to individual resource types.</w:t>
      </w:r>
    </w:p>
    <w:p>
      <w:pPr>
        <w:pStyle w:val="Heading2"/>
        <w:jc w:val="left"/>
      </w:pPr>
      <w:r>
        <w:t>4.2 HCP Workspace Naming Convention</w:t>
      </w:r>
    </w:p>
    <w:tbl>
      <w:tblPr>
        <w:tblStyle w:val="TableGrid"/>
        <w:tblW w:type="auto" w:w="0"/>
        <w:tblLook w:firstColumn="1" w:firstRow="1" w:lastColumn="0" w:lastRow="0" w:noHBand="0" w:noVBand="1" w:val="04A0"/>
      </w:tblPr>
      <w:tblGrid>
        <w:gridCol w:w="2928"/>
        <w:gridCol w:w="2928"/>
        <w:gridCol w:w="2928"/>
      </w:tblGrid>
      <w:tr>
        <w:tc>
          <w:tcPr>
            <w:tcW w:type="dxa" w:w="2928"/>
          </w:tcPr>
          <w:p/>
        </w:tc>
        <w:tc>
          <w:tcPr>
            <w:tcW w:type="dxa" w:w="2928"/>
          </w:tcPr>
          <w:p/>
        </w:tc>
        <w:tc>
          <w:tcPr>
            <w:tcW w:type="dxa" w:w="2928"/>
          </w:tcPr>
          <w:p/>
        </w:tc>
      </w:tr>
      <w:tr>
        <w:tc>
          <w:tcPr>
            <w:tcW w:type="dxa" w:w="2928"/>
            <w:shd w:val="clear" w:color="auto" w:fill="1F4E79"/>
          </w:tcPr>
          <w:p>
            <w:r/>
            <w:r>
              <w:rPr>
                <w:b/>
                <w:color w:val="FFFFFF"/>
              </w:rPr>
              <w:t>Pattern</w:t>
            </w:r>
          </w:p>
        </w:tc>
        <w:tc>
          <w:tcPr>
            <w:tcW w:type="dxa" w:w="2928"/>
            <w:shd w:val="clear" w:color="auto" w:fill="1F4E79"/>
          </w:tcPr>
          <w:p>
            <w:r/>
            <w:r>
              <w:rPr>
                <w:b/>
                <w:color w:val="FFFFFF"/>
              </w:rPr>
              <w:t>Example</w:t>
            </w:r>
          </w:p>
        </w:tc>
        <w:tc>
          <w:tcPr>
            <w:tcW w:type="dxa" w:w="2928"/>
            <w:shd w:val="clear" w:color="auto" w:fill="1F4E79"/>
          </w:tcPr>
          <w:p>
            <w:r/>
            <w:r>
              <w:rPr>
                <w:b/>
                <w:color w:val="FFFFFF"/>
              </w:rPr>
              <w:t>Scope</w:t>
            </w:r>
          </w:p>
        </w:tc>
      </w:tr>
      <w:tr>
        <w:tc>
          <w:tcPr>
            <w:tcW w:type="dxa" w:w="2928"/>
            <w:shd w:val="clear" w:color="auto" w:fill="EBF3FB"/>
          </w:tcPr>
          <w:p>
            <w:r/>
            <w:r>
              <w:t>global-&lt;layer&gt;</w:t>
            </w:r>
          </w:p>
        </w:tc>
        <w:tc>
          <w:tcPr>
            <w:tcW w:type="dxa" w:w="2928"/>
            <w:shd w:val="clear" w:color="auto" w:fill="EBF3FB"/>
          </w:tcPr>
          <w:p>
            <w:r/>
            <w:r>
              <w:t>global-management-groups</w:t>
            </w:r>
          </w:p>
        </w:tc>
        <w:tc>
          <w:tcPr>
            <w:tcW w:type="dxa" w:w="2928"/>
            <w:shd w:val="clear" w:color="auto" w:fill="EBF3FB"/>
          </w:tcPr>
          <w:p>
            <w:r/>
            <w:r>
              <w:t>Tenant-wide, once</w:t>
            </w:r>
          </w:p>
        </w:tc>
      </w:tr>
      <w:tr>
        <w:tc>
          <w:tcPr>
            <w:tcW w:type="dxa" w:w="2928"/>
          </w:tcPr>
          <w:p>
            <w:r/>
            <w:r>
              <w:t>platform-&lt;env&gt;-&lt;layer&gt;</w:t>
            </w:r>
          </w:p>
        </w:tc>
        <w:tc>
          <w:tcPr>
            <w:tcW w:type="dxa" w:w="2928"/>
          </w:tcPr>
          <w:p>
            <w:r/>
            <w:r>
              <w:t>platform-dev-connectivity</w:t>
            </w:r>
          </w:p>
        </w:tc>
        <w:tc>
          <w:tcPr>
            <w:tcW w:type="dxa" w:w="2928"/>
          </w:tcPr>
          <w:p>
            <w:r/>
            <w:r>
              <w:t>Per-env platform stack</w:t>
            </w:r>
          </w:p>
        </w:tc>
      </w:tr>
      <w:tr>
        <w:tc>
          <w:tcPr>
            <w:tcW w:type="dxa" w:w="2928"/>
            <w:shd w:val="clear" w:color="auto" w:fill="EBF3FB"/>
          </w:tcPr>
          <w:p>
            <w:r/>
            <w:r>
              <w:t>workload-&lt;env&gt;-&lt;app&gt;</w:t>
            </w:r>
          </w:p>
        </w:tc>
        <w:tc>
          <w:tcPr>
            <w:tcW w:type="dxa" w:w="2928"/>
            <w:shd w:val="clear" w:color="auto" w:fill="EBF3FB"/>
          </w:tcPr>
          <w:p>
            <w:r/>
            <w:r>
              <w:t>workload-dev-finserv-api</w:t>
            </w:r>
          </w:p>
        </w:tc>
        <w:tc>
          <w:tcPr>
            <w:tcW w:type="dxa" w:w="2928"/>
            <w:shd w:val="clear" w:color="auto" w:fill="EBF3FB"/>
          </w:tcPr>
          <w:p>
            <w:r/>
            <w:r>
              <w:t>Per-env per-workload</w:t>
            </w:r>
          </w:p>
        </w:tc>
      </w:tr>
    </w:tbl>
    <w:p>
      <w:pPr>
        <w:pStyle w:val="Heading2"/>
        <w:jc w:val="left"/>
      </w:pPr>
      <w:r>
        <w:t>4.3 Stack Dependency Ordering in HCP</w:t>
      </w:r>
    </w:p>
    <w:p>
      <w:r>
        <w:t>Configure HCP workspace run triggers in this order (each layer reads prior layer's remote state):</w:t>
        <w:br/>
      </w:r>
    </w:p>
    <w:p>
      <w:r>
        <w:rPr>
          <w:rFonts w:ascii="Courier New" w:hAnsi="Courier New"/>
          <w:sz w:val="20"/>
        </w:rPr>
        <w:t xml:space="preserve">  Step 1: global-subscriptions → global-management-groups</w:t>
      </w:r>
    </w:p>
    <w:p>
      <w:r>
        <w:rPr>
          <w:rFonts w:ascii="Courier New" w:hAnsi="Courier New"/>
          <w:sz w:val="20"/>
        </w:rPr>
        <w:t xml:space="preserve">  Step 2: global-management-groups → global-role-assignments, global-policy</w:t>
      </w:r>
    </w:p>
    <w:p>
      <w:r>
        <w:rPr>
          <w:rFonts w:ascii="Courier New" w:hAnsi="Courier New"/>
          <w:sz w:val="20"/>
        </w:rPr>
        <w:t xml:space="preserve">  Step 3: platform-&lt;env&gt;-management → platform-&lt;env&gt;-connectivity → platform-&lt;env&gt;-identity</w:t>
      </w:r>
    </w:p>
    <w:p>
      <w:r>
        <w:rPr>
          <w:rFonts w:ascii="Courier New" w:hAnsi="Courier New"/>
          <w:sz w:val="20"/>
        </w:rPr>
        <w:t xml:space="preserve">  Step 4: platform-&lt;env&gt;-connectivity → workload-&lt;env&gt;-&lt;app&gt; (via remote state for hub VNet IDs and DNS zone IDs)</w:t>
      </w:r>
    </w:p>
    <w:p>
      <w:pPr>
        <w:pStyle w:val="Heading2"/>
        <w:jc w:val="left"/>
      </w:pPr>
      <w:r>
        <w:t>4.4 Missing Modules to Create</w:t>
      </w:r>
    </w:p>
    <w:tbl>
      <w:tblPr>
        <w:tblStyle w:val="TableGrid"/>
        <w:tblW w:type="auto" w:w="0"/>
        <w:tblLook w:firstColumn="1" w:firstRow="1" w:lastColumn="0" w:lastRow="0" w:noHBand="0" w:noVBand="1" w:val="04A0"/>
      </w:tblPr>
      <w:tblGrid>
        <w:gridCol w:w="4392"/>
        <w:gridCol w:w="4392"/>
      </w:tblGrid>
      <w:tr>
        <w:tc>
          <w:tcPr>
            <w:tcW w:type="dxa" w:w="4392"/>
          </w:tcPr>
          <w:p/>
        </w:tc>
        <w:tc>
          <w:tcPr>
            <w:tcW w:type="dxa" w:w="4392"/>
          </w:tcPr>
          <w:p/>
        </w:tc>
      </w:tr>
      <w:tr>
        <w:tc>
          <w:tcPr>
            <w:tcW w:type="dxa" w:w="4392"/>
            <w:shd w:val="clear" w:color="auto" w:fill="1F4E79"/>
          </w:tcPr>
          <w:p>
            <w:r/>
            <w:r>
              <w:rPr>
                <w:b/>
                <w:color w:val="FFFFFF"/>
              </w:rPr>
              <w:t>Module Name</w:t>
            </w:r>
          </w:p>
        </w:tc>
        <w:tc>
          <w:tcPr>
            <w:tcW w:type="dxa" w:w="4392"/>
            <w:shd w:val="clear" w:color="auto" w:fill="1F4E79"/>
          </w:tcPr>
          <w:p>
            <w:r/>
            <w:r>
              <w:rPr>
                <w:b/>
                <w:color w:val="FFFFFF"/>
              </w:rPr>
              <w:t>Rationale</w:t>
            </w:r>
          </w:p>
        </w:tc>
      </w:tr>
      <w:tr>
        <w:tc>
          <w:tcPr>
            <w:tcW w:type="dxa" w:w="4392"/>
            <w:shd w:val="clear" w:color="auto" w:fill="EBF3FB"/>
          </w:tcPr>
          <w:p>
            <w:r/>
            <w:r>
              <w:t>service_plan</w:t>
            </w:r>
          </w:p>
        </w:tc>
        <w:tc>
          <w:tcPr>
            <w:tcW w:type="dxa" w:w="4392"/>
            <w:shd w:val="clear" w:color="auto" w:fill="EBF3FB"/>
          </w:tcPr>
          <w:p>
            <w:r/>
            <w:r>
              <w:t>Decouple Service Plan from function_app; support shared plans across apps</w:t>
            </w:r>
          </w:p>
        </w:tc>
      </w:tr>
      <w:tr>
        <w:tc>
          <w:tcPr>
            <w:tcW w:type="dxa" w:w="4392"/>
          </w:tcPr>
          <w:p>
            <w:r/>
            <w:r>
              <w:t>event_grid</w:t>
            </w:r>
          </w:p>
        </w:tc>
        <w:tc>
          <w:tcPr>
            <w:tcW w:type="dxa" w:w="4392"/>
          </w:tcPr>
          <w:p>
            <w:r/>
            <w:r>
              <w:t>Event Grid topic and subscription (seen in HCP screenshots but module missing)</w:t>
            </w:r>
          </w:p>
        </w:tc>
      </w:tr>
      <w:tr>
        <w:tc>
          <w:tcPr>
            <w:tcW w:type="dxa" w:w="4392"/>
            <w:shd w:val="clear" w:color="auto" w:fill="EBF3FB"/>
          </w:tcPr>
          <w:p>
            <w:r/>
            <w:r>
              <w:t>availability_set</w:t>
            </w:r>
          </w:p>
        </w:tc>
        <w:tc>
          <w:tcPr>
            <w:tcW w:type="dxa" w:w="4392"/>
            <w:shd w:val="clear" w:color="auto" w:fill="EBF3FB"/>
          </w:tcPr>
          <w:p>
            <w:r/>
            <w:r>
              <w:t>Availability Set resource (seen in HCP screenshots as individual workspace)</w:t>
            </w:r>
          </w:p>
        </w:tc>
      </w:tr>
      <w:tr>
        <w:tc>
          <w:tcPr>
            <w:tcW w:type="dxa" w:w="4392"/>
          </w:tcPr>
          <w:p>
            <w:r/>
            <w:r>
              <w:t>defender_for_cloud</w:t>
            </w:r>
          </w:p>
        </w:tc>
        <w:tc>
          <w:tcPr>
            <w:tcW w:type="dxa" w:w="4392"/>
          </w:tcPr>
          <w:p>
            <w:r/>
            <w:r>
              <w:t>Microsoft Defender for Cloud pricing and contact configuration</w:t>
            </w:r>
          </w:p>
        </w:tc>
      </w:tr>
      <w:tr>
        <w:tc>
          <w:tcPr>
            <w:tcW w:type="dxa" w:w="4392"/>
            <w:shd w:val="clear" w:color="auto" w:fill="EBF3FB"/>
          </w:tcPr>
          <w:p>
            <w:r/>
            <w:r>
              <w:t>monitor_alert_rule</w:t>
            </w:r>
          </w:p>
        </w:tc>
        <w:tc>
          <w:tcPr>
            <w:tcW w:type="dxa" w:w="4392"/>
            <w:shd w:val="clear" w:color="auto" w:fill="EBF3FB"/>
          </w:tcPr>
          <w:p>
            <w:r/>
            <w:r>
              <w:t>Generic metric and log alert rules referencing action groups</w:t>
            </w:r>
          </w:p>
        </w:tc>
      </w:tr>
      <w:tr>
        <w:tc>
          <w:tcPr>
            <w:tcW w:type="dxa" w:w="4392"/>
          </w:tcPr>
          <w:p>
            <w:r/>
            <w:r>
              <w:t>express_route_gateway</w:t>
            </w:r>
          </w:p>
        </w:tc>
        <w:tc>
          <w:tcPr>
            <w:tcW w:type="dxa" w:w="4392"/>
          </w:tcPr>
          <w:p>
            <w:r/>
            <w:r>
              <w:t>ExpressRoute gateway for hub connectivity stack</w:t>
            </w:r>
          </w:p>
        </w:tc>
      </w:tr>
      <w:tr>
        <w:tc>
          <w:tcPr>
            <w:tcW w:type="dxa" w:w="4392"/>
            <w:shd w:val="clear" w:color="auto" w:fill="EBF3FB"/>
          </w:tcPr>
          <w:p>
            <w:r/>
            <w:r>
              <w:t>policy_exemption</w:t>
            </w:r>
          </w:p>
        </w:tc>
        <w:tc>
          <w:tcPr>
            <w:tcW w:type="dxa" w:w="4392"/>
            <w:shd w:val="clear" w:color="auto" w:fill="EBF3FB"/>
          </w:tcPr>
          <w:p>
            <w:r/>
            <w:r>
              <w:t>Policy exemption management (exemptions.tf exists in policy stack but no module)</w:t>
            </w:r>
          </w:p>
        </w:tc>
      </w:tr>
      <w:tr>
        <w:tc>
          <w:tcPr>
            <w:tcW w:type="dxa" w:w="4392"/>
          </w:tcPr>
          <w:p>
            <w:r/>
            <w:r>
              <w:t>virtual_machine_extension</w:t>
            </w:r>
          </w:p>
        </w:tc>
        <w:tc>
          <w:tcPr>
            <w:tcW w:type="dxa" w:w="4392"/>
          </w:tcPr>
          <w:p>
            <w:r/>
            <w:r>
              <w:t>VM extensions: OMS agent, AAD login, custom script — currently callers add inline</w:t>
            </w:r>
          </w:p>
        </w:tc>
      </w:tr>
      <w:tr>
        <w:tc>
          <w:tcPr>
            <w:tcW w:type="dxa" w:w="4392"/>
            <w:shd w:val="clear" w:color="auto" w:fill="EBF3FB"/>
          </w:tcPr>
          <w:p>
            <w:r/>
            <w:r>
              <w:t>data_factory</w:t>
            </w:r>
          </w:p>
        </w:tc>
        <w:tc>
          <w:tcPr>
            <w:tcW w:type="dxa" w:w="4392"/>
            <w:shd w:val="clear" w:color="auto" w:fill="EBF3FB"/>
          </w:tcPr>
          <w:p>
            <w:r/>
            <w:r>
              <w:t>Azure Data Factory — common in finserv data pipelines, no module exists</w:t>
            </w:r>
          </w:p>
        </w:tc>
      </w:tr>
      <w:tr>
        <w:tc>
          <w:tcPr>
            <w:tcW w:type="dxa" w:w="4392"/>
          </w:tcPr>
          <w:p>
            <w:r/>
            <w:r>
              <w:t>api_management_product</w:t>
            </w:r>
          </w:p>
        </w:tc>
        <w:tc>
          <w:tcPr>
            <w:tcW w:type="dxa" w:w="4392"/>
          </w:tcPr>
          <w:p>
            <w:r/>
            <w:r>
              <w:t>APIM product and subscription management</w:t>
            </w:r>
          </w:p>
        </w:tc>
      </w:tr>
    </w:tbl>
    <w:p>
      <w:r>
        <w:br w:type="page"/>
      </w:r>
    </w:p>
    <w:p>
      <w:pPr>
        <w:pStyle w:val="Heading1"/>
        <w:jc w:val="left"/>
      </w:pPr>
      <w:r>
        <w:t>5. Provider Version Standardization</w:t>
      </w:r>
    </w:p>
    <w:p>
      <w:r>
        <w:t>Currently, versions.tf files exist in only 4 of 30+ modules (storage, keyvault-key, subscription, vnet-peering). This creates version drift risk when provider updates introduce breaking changes. The recommended approach:</w:t>
      </w:r>
    </w:p>
    <w:p>
      <w:pPr>
        <w:pStyle w:val="ListBullet"/>
      </w:pPr>
      <w:r>
        <w:t>Every module must have a versions.tf declaring: required terraform version (~&gt; 1.5), required azurerm version (~&gt; 4.0), and any additional providers (azapi ~&gt; 2.3 for storage)</w:t>
      </w:r>
    </w:p>
    <w:p>
      <w:pPr>
        <w:pStyle w:val="ListBullet"/>
      </w:pPr>
      <w:r>
        <w:t>Global stacks must pin exact provider versions in their versions.tf to ensure reproducible runs in HCP</w:t>
      </w:r>
    </w:p>
    <w:p>
      <w:pPr>
        <w:pStyle w:val="ListBullet"/>
      </w:pPr>
      <w:r>
        <w:t>Module versions.tf should use &gt;= lower bound with &lt; upper bound (pessimistic constraint ~&gt; 4.0 means &gt;= 4.0, &lt; 5.0)</w:t>
      </w:r>
    </w:p>
    <w:p>
      <w:pPr>
        <w:pStyle w:val="ListBullet"/>
      </w:pPr>
      <w:r>
        <w:t>The azapi provider dependency in the storage module must be explicitly declared in all stacks that use it</w:t>
      </w:r>
    </w:p>
    <w:p>
      <w:r>
        <w:br w:type="page"/>
      </w:r>
    </w:p>
    <w:p>
      <w:pPr>
        <w:pStyle w:val="Heading1"/>
        <w:jc w:val="left"/>
      </w:pPr>
      <w:r>
        <w:t>6. Drift Prevention Checklist</w:t>
      </w:r>
    </w:p>
    <w:p>
      <w:r>
        <w:t>Based on the HCP workspace observations and module analysis, the following controls will systematically prevent drift:</w:t>
      </w:r>
    </w:p>
    <w:tbl>
      <w:tblPr>
        <w:tblStyle w:val="TableGrid"/>
        <w:tblW w:type="auto" w:w="0"/>
        <w:tblLook w:firstColumn="1" w:firstRow="1" w:lastColumn="0" w:lastRow="0" w:noHBand="0" w:noVBand="1" w:val="04A0"/>
      </w:tblPr>
      <w:tblGrid>
        <w:gridCol w:w="2928"/>
        <w:gridCol w:w="2928"/>
        <w:gridCol w:w="2928"/>
      </w:tblGrid>
      <w:tr>
        <w:tc>
          <w:tcPr>
            <w:tcW w:type="dxa" w:w="2928"/>
          </w:tcPr>
          <w:p/>
        </w:tc>
        <w:tc>
          <w:tcPr>
            <w:tcW w:type="dxa" w:w="2928"/>
          </w:tcPr>
          <w:p/>
        </w:tc>
        <w:tc>
          <w:tcPr>
            <w:tcW w:type="dxa" w:w="2928"/>
          </w:tcPr>
          <w:p/>
        </w:tc>
      </w:tr>
      <w:tr>
        <w:tc>
          <w:tcPr>
            <w:tcW w:type="dxa" w:w="2928"/>
            <w:shd w:val="clear" w:color="auto" w:fill="1F4E79"/>
          </w:tcPr>
          <w:p>
            <w:r/>
            <w:r>
              <w:rPr>
                <w:b/>
                <w:color w:val="FFFFFF"/>
              </w:rPr>
              <w:t>Control</w:t>
            </w:r>
          </w:p>
        </w:tc>
        <w:tc>
          <w:tcPr>
            <w:tcW w:type="dxa" w:w="2928"/>
            <w:shd w:val="clear" w:color="auto" w:fill="1F4E79"/>
          </w:tcPr>
          <w:p>
            <w:r/>
            <w:r>
              <w:rPr>
                <w:b/>
                <w:color w:val="FFFFFF"/>
              </w:rPr>
              <w:t>Priority</w:t>
            </w:r>
          </w:p>
        </w:tc>
        <w:tc>
          <w:tcPr>
            <w:tcW w:type="dxa" w:w="2928"/>
            <w:shd w:val="clear" w:color="auto" w:fill="1F4E79"/>
          </w:tcPr>
          <w:p>
            <w:r/>
            <w:r>
              <w:rPr>
                <w:b/>
                <w:color w:val="FFFFFF"/>
              </w:rPr>
              <w:t>Drift Impact</w:t>
            </w:r>
          </w:p>
        </w:tc>
      </w:tr>
      <w:tr>
        <w:tc>
          <w:tcPr>
            <w:tcW w:type="dxa" w:w="2928"/>
            <w:shd w:val="clear" w:color="auto" w:fill="EBF3FB"/>
          </w:tcPr>
          <w:p>
            <w:r>
              <w:t>Consolidate per-resource workspaces into stack workspaces</w:t>
            </w:r>
          </w:p>
        </w:tc>
        <w:tc>
          <w:tcPr>
            <w:tcW w:type="dxa" w:w="2928"/>
            <w:shd w:val="clear" w:color="auto" w:fill="EBF3FB"/>
          </w:tcPr>
          <w:p>
            <w:r>
              <w:rPr>
                <w:b/>
                <w:color w:val="C00000"/>
              </w:rPr>
              <w:t>CRITICAL</w:t>
            </w:r>
          </w:p>
        </w:tc>
        <w:tc>
          <w:tcPr>
            <w:tcW w:type="dxa" w:w="2928"/>
            <w:shd w:val="clear" w:color="auto" w:fill="EBF3FB"/>
          </w:tcPr>
          <w:p>
            <w:r>
              <w:t>Causes immediate drift</w:t>
            </w:r>
          </w:p>
        </w:tc>
      </w:tr>
      <w:tr>
        <w:tc>
          <w:tcPr>
            <w:tcW w:type="dxa" w:w="2928"/>
          </w:tcPr>
          <w:p>
            <w:r>
              <w:t>Pin all module versions in stacks — never use source path references in production</w:t>
            </w:r>
          </w:p>
        </w:tc>
        <w:tc>
          <w:tcPr>
            <w:tcW w:type="dxa" w:w="2928"/>
          </w:tcPr>
          <w:p>
            <w:r>
              <w:rPr>
                <w:b/>
                <w:color w:val="C00000"/>
              </w:rPr>
              <w:t>CRITICAL</w:t>
            </w:r>
          </w:p>
        </w:tc>
        <w:tc>
          <w:tcPr>
            <w:tcW w:type="dxa" w:w="2928"/>
          </w:tcPr>
          <w:p>
            <w:r>
              <w:t>Causes immediate drift</w:t>
            </w:r>
          </w:p>
        </w:tc>
      </w:tr>
      <w:tr>
        <w:tc>
          <w:tcPr>
            <w:tcW w:type="dxa" w:w="2928"/>
            <w:shd w:val="clear" w:color="auto" w:fill="EBF3FB"/>
          </w:tcPr>
          <w:p>
            <w:r>
              <w:t>Add versions.tf to every module</w:t>
            </w:r>
          </w:p>
        </w:tc>
        <w:tc>
          <w:tcPr>
            <w:tcW w:type="dxa" w:w="2928"/>
            <w:shd w:val="clear" w:color="auto" w:fill="EBF3FB"/>
          </w:tcPr>
          <w:p>
            <w:r>
              <w:rPr>
                <w:b/>
                <w:color w:val="BF5000"/>
              </w:rPr>
              <w:t>HIGH</w:t>
            </w:r>
          </w:p>
        </w:tc>
        <w:tc>
          <w:tcPr>
            <w:tcW w:type="dxa" w:w="2928"/>
            <w:shd w:val="clear" w:color="auto" w:fill="EBF3FB"/>
          </w:tcPr>
          <w:p>
            <w:r>
              <w:t>Causes frequent drift</w:t>
            </w:r>
          </w:p>
        </w:tc>
      </w:tr>
      <w:tr>
        <w:tc>
          <w:tcPr>
            <w:tcW w:type="dxa" w:w="2928"/>
          </w:tcPr>
          <w:p>
            <w:r>
              <w:t>Fix random_string keepers in naming module to prevent resource rename on state loss</w:t>
            </w:r>
          </w:p>
        </w:tc>
        <w:tc>
          <w:tcPr>
            <w:tcW w:type="dxa" w:w="2928"/>
          </w:tcPr>
          <w:p>
            <w:r>
              <w:rPr>
                <w:b/>
                <w:color w:val="BF5000"/>
              </w:rPr>
              <w:t>HIGH</w:t>
            </w:r>
          </w:p>
        </w:tc>
        <w:tc>
          <w:tcPr>
            <w:tcW w:type="dxa" w:w="2928"/>
          </w:tcPr>
          <w:p>
            <w:r>
              <w:t>Causes frequent drift</w:t>
            </w:r>
          </w:p>
        </w:tc>
      </w:tr>
      <w:tr>
        <w:tc>
          <w:tcPr>
            <w:tcW w:type="dxa" w:w="2928"/>
            <w:shd w:val="clear" w:color="auto" w:fill="EBF3FB"/>
          </w:tcPr>
          <w:p>
            <w:r>
              <w:t>Change storage shared_access_key_enabled default to false</w:t>
            </w:r>
          </w:p>
        </w:tc>
        <w:tc>
          <w:tcPr>
            <w:tcW w:type="dxa" w:w="2928"/>
            <w:shd w:val="clear" w:color="auto" w:fill="EBF3FB"/>
          </w:tcPr>
          <w:p>
            <w:r>
              <w:rPr>
                <w:b/>
                <w:color w:val="BF5000"/>
              </w:rPr>
              <w:t>HIGH</w:t>
            </w:r>
          </w:p>
        </w:tc>
        <w:tc>
          <w:tcPr>
            <w:tcW w:type="dxa" w:w="2928"/>
            <w:shd w:val="clear" w:color="auto" w:fill="EBF3FB"/>
          </w:tcPr>
          <w:p>
            <w:r>
              <w:t>Causes frequent drift</w:t>
            </w:r>
          </w:p>
        </w:tc>
      </w:tr>
      <w:tr>
        <w:tc>
          <w:tcPr>
            <w:tcW w:type="dxa" w:w="2928"/>
          </w:tcPr>
          <w:p>
            <w:r>
              <w:t>Fix vnet-spoke default CIDRs — remove overlapping defaults</w:t>
            </w:r>
          </w:p>
        </w:tc>
        <w:tc>
          <w:tcPr>
            <w:tcW w:type="dxa" w:w="2928"/>
          </w:tcPr>
          <w:p>
            <w:r>
              <w:rPr>
                <w:b/>
                <w:color w:val="BF5000"/>
              </w:rPr>
              <w:t>HIGH</w:t>
            </w:r>
          </w:p>
        </w:tc>
        <w:tc>
          <w:tcPr>
            <w:tcW w:type="dxa" w:w="2928"/>
          </w:tcPr>
          <w:p>
            <w:r>
              <w:t>Causes frequent drift</w:t>
            </w:r>
          </w:p>
        </w:tc>
      </w:tr>
      <w:tr>
        <w:tc>
          <w:tcPr>
            <w:tcW w:type="dxa" w:w="2928"/>
            <w:shd w:val="clear" w:color="auto" w:fill="EBF3FB"/>
          </w:tcPr>
          <w:p>
            <w:r>
              <w:t>Replace APIM file() with content variable for HCP remote execution compatibility</w:t>
            </w:r>
          </w:p>
        </w:tc>
        <w:tc>
          <w:tcPr>
            <w:tcW w:type="dxa" w:w="2928"/>
            <w:shd w:val="clear" w:color="auto" w:fill="EBF3FB"/>
          </w:tcPr>
          <w:p>
            <w:r>
              <w:rPr>
                <w:b/>
                <w:color w:val="BF5000"/>
              </w:rPr>
              <w:t>HIGH</w:t>
            </w:r>
          </w:p>
        </w:tc>
        <w:tc>
          <w:tcPr>
            <w:tcW w:type="dxa" w:w="2928"/>
            <w:shd w:val="clear" w:color="auto" w:fill="EBF3FB"/>
          </w:tcPr>
          <w:p>
            <w:r>
              <w:t>Causes frequent drift</w:t>
            </w:r>
          </w:p>
        </w:tc>
      </w:tr>
      <w:tr>
        <w:tc>
          <w:tcPr>
            <w:tcW w:type="dxa" w:w="2928"/>
          </w:tcPr>
          <w:p>
            <w:r>
              <w:t>Rewrite function_app module to support Windows and multi-runtime</w:t>
            </w:r>
          </w:p>
        </w:tc>
        <w:tc>
          <w:tcPr>
            <w:tcW w:type="dxa" w:w="2928"/>
          </w:tcPr>
          <w:p>
            <w:r>
              <w:rPr>
                <w:b/>
                <w:color w:val="BF5000"/>
              </w:rPr>
              <w:t>HIGH</w:t>
            </w:r>
          </w:p>
        </w:tc>
        <w:tc>
          <w:tcPr>
            <w:tcW w:type="dxa" w:w="2928"/>
          </w:tcPr>
          <w:p>
            <w:r>
              <w:t>Causes frequent drift</w:t>
            </w:r>
          </w:p>
        </w:tc>
      </w:tr>
      <w:tr>
        <w:tc>
          <w:tcPr>
            <w:tcW w:type="dxa" w:w="2928"/>
            <w:shd w:val="clear" w:color="auto" w:fill="EBF3FB"/>
          </w:tcPr>
          <w:p>
            <w:r>
              <w:t>Enable HCP Sentinel policies to enforce module source registry (not git paths)</w:t>
            </w:r>
          </w:p>
        </w:tc>
        <w:tc>
          <w:tcPr>
            <w:tcW w:type="dxa" w:w="2928"/>
            <w:shd w:val="clear" w:color="auto" w:fill="EBF3FB"/>
          </w:tcPr>
          <w:p>
            <w:r>
              <w:rPr>
                <w:color w:val="0070C0"/>
              </w:rPr>
              <w:t>MEDIUM</w:t>
            </w:r>
          </w:p>
        </w:tc>
        <w:tc>
          <w:tcPr>
            <w:tcW w:type="dxa" w:w="2928"/>
            <w:shd w:val="clear" w:color="auto" w:fill="EBF3FB"/>
          </w:tcPr>
          <w:p>
            <w:r>
              <w:t>Increases drift risk over time</w:t>
            </w:r>
          </w:p>
        </w:tc>
      </w:tr>
      <w:tr>
        <w:tc>
          <w:tcPr>
            <w:tcW w:type="dxa" w:w="2928"/>
          </w:tcPr>
          <w:p>
            <w:r>
              <w:t>Add terraform_remote_state outputs validation in platform stacks</w:t>
            </w:r>
          </w:p>
        </w:tc>
        <w:tc>
          <w:tcPr>
            <w:tcW w:type="dxa" w:w="2928"/>
          </w:tcPr>
          <w:p>
            <w:r>
              <w:rPr>
                <w:color w:val="0070C0"/>
              </w:rPr>
              <w:t>MEDIUM</w:t>
            </w:r>
          </w:p>
        </w:tc>
        <w:tc>
          <w:tcPr>
            <w:tcW w:type="dxa" w:w="2928"/>
          </w:tcPr>
          <w:p>
            <w:r>
              <w:t>Increases drift risk over time</w:t>
            </w:r>
          </w:p>
        </w:tc>
      </w:tr>
      <w:tr>
        <w:tc>
          <w:tcPr>
            <w:tcW w:type="dxa" w:w="2928"/>
            <w:shd w:val="clear" w:color="auto" w:fill="EBF3FB"/>
          </w:tcPr>
          <w:p>
            <w:r>
              <w:t>Remove hardcoded subscription IDs and env-specific defaults from global stack variables</w:t>
            </w:r>
          </w:p>
        </w:tc>
        <w:tc>
          <w:tcPr>
            <w:tcW w:type="dxa" w:w="2928"/>
            <w:shd w:val="clear" w:color="auto" w:fill="EBF3FB"/>
          </w:tcPr>
          <w:p>
            <w:r>
              <w:rPr>
                <w:color w:val="0070C0"/>
              </w:rPr>
              <w:t>MEDIUM</w:t>
            </w:r>
          </w:p>
        </w:tc>
        <w:tc>
          <w:tcPr>
            <w:tcW w:type="dxa" w:w="2928"/>
            <w:shd w:val="clear" w:color="auto" w:fill="EBF3FB"/>
          </w:tcPr>
          <w:p>
            <w:r>
              <w:t>Increases drift risk over time</w:t>
            </w:r>
          </w:p>
        </w:tc>
      </w:tr>
      <w:tr>
        <w:tc>
          <w:tcPr>
            <w:tcW w:type="dxa" w:w="2928"/>
          </w:tcPr>
          <w:p>
            <w:r>
              <w:t>Merge log-analytics and observability modules to prevent divergence</w:t>
            </w:r>
          </w:p>
        </w:tc>
        <w:tc>
          <w:tcPr>
            <w:tcW w:type="dxa" w:w="2928"/>
          </w:tcPr>
          <w:p>
            <w:r>
              <w:rPr>
                <w:color w:val="0070C0"/>
              </w:rPr>
              <w:t>MEDIUM</w:t>
            </w:r>
          </w:p>
        </w:tc>
        <w:tc>
          <w:tcPr>
            <w:tcW w:type="dxa" w:w="2928"/>
          </w:tcPr>
          <w:p>
            <w:r>
              <w:t>Increases drift risk over time</w:t>
            </w:r>
          </w:p>
        </w:tc>
      </w:tr>
      <w:tr>
        <w:tc>
          <w:tcPr>
            <w:tcW w:type="dxa" w:w="2928"/>
            <w:shd w:val="clear" w:color="auto" w:fill="EBF3FB"/>
          </w:tcPr>
          <w:p>
            <w:r>
              <w:t>Add outputs.tf to diagnostics and private-endpoint modules</w:t>
            </w:r>
          </w:p>
        </w:tc>
        <w:tc>
          <w:tcPr>
            <w:tcW w:type="dxa" w:w="2928"/>
            <w:shd w:val="clear" w:color="auto" w:fill="EBF3FB"/>
          </w:tcPr>
          <w:p>
            <w:r>
              <w:rPr>
                <w:color w:val="0070C0"/>
              </w:rPr>
              <w:t>MEDIUM</w:t>
            </w:r>
          </w:p>
        </w:tc>
        <w:tc>
          <w:tcPr>
            <w:tcW w:type="dxa" w:w="2928"/>
            <w:shd w:val="clear" w:color="auto" w:fill="EBF3FB"/>
          </w:tcPr>
          <w:p>
            <w:r>
              <w:t>Increases drift risk over time</w:t>
            </w:r>
          </w:p>
        </w:tc>
      </w:tr>
      <w:tr>
        <w:tc>
          <w:tcPr>
            <w:tcW w:type="dxa" w:w="2928"/>
          </w:tcPr>
          <w:p>
            <w:r>
              <w:t>Publish modules to HCP Private Registry and create CODEOWNERS for module PRs</w:t>
            </w:r>
          </w:p>
        </w:tc>
        <w:tc>
          <w:tcPr>
            <w:tcW w:type="dxa" w:w="2928"/>
          </w:tcPr>
          <w:p>
            <w:r>
              <w:rPr>
                <w:color w:val="0070C0"/>
              </w:rPr>
              <w:t>MEDIUM</w:t>
            </w:r>
          </w:p>
        </w:tc>
        <w:tc>
          <w:tcPr>
            <w:tcW w:type="dxa" w:w="2928"/>
          </w:tcPr>
          <w:p>
            <w:r>
              <w:t>Increases drift risk over time</w:t>
            </w:r>
          </w:p>
        </w:tc>
      </w:tr>
      <w:tr>
        <w:tc>
          <w:tcPr>
            <w:tcW w:type="dxa" w:w="2928"/>
            <w:shd w:val="clear" w:color="auto" w:fill="EBF3FB"/>
          </w:tcPr>
          <w:p>
            <w:r>
              <w:t>Add pre-plan Terraform fmt and validate checks in HCP workspace run tasks</w:t>
            </w:r>
          </w:p>
        </w:tc>
        <w:tc>
          <w:tcPr>
            <w:tcW w:type="dxa" w:w="2928"/>
            <w:shd w:val="clear" w:color="auto" w:fill="EBF3FB"/>
          </w:tcPr>
          <w:p>
            <w:r>
              <w:t>LOW</w:t>
            </w:r>
          </w:p>
        </w:tc>
        <w:tc>
          <w:tcPr>
            <w:tcW w:type="dxa" w:w="2928"/>
            <w:shd w:val="clear" w:color="auto" w:fill="EBF3FB"/>
          </w:tcPr>
          <w:p>
            <w:r>
              <w:t>Prevents future drift</w:t>
            </w:r>
          </w:p>
        </w:tc>
      </w:tr>
      <w:tr>
        <w:tc>
          <w:tcPr>
            <w:tcW w:type="dxa" w:w="2928"/>
          </w:tcPr>
          <w:p>
            <w:r>
              <w:t>Add policy module integration with Azure built-in policies via data sources</w:t>
            </w:r>
          </w:p>
        </w:tc>
        <w:tc>
          <w:tcPr>
            <w:tcW w:type="dxa" w:w="2928"/>
          </w:tcPr>
          <w:p>
            <w:r>
              <w:t>LOW</w:t>
            </w:r>
          </w:p>
        </w:tc>
        <w:tc>
          <w:tcPr>
            <w:tcW w:type="dxa" w:w="2928"/>
          </w:tcPr>
          <w:p>
            <w:r>
              <w:t>Prevents future drift</w:t>
            </w:r>
          </w:p>
        </w:tc>
      </w:tr>
    </w:tbl>
    <w:p>
      <w:r>
        <w:br w:type="page"/>
      </w:r>
    </w:p>
    <w:p>
      <w:pPr>
        <w:pStyle w:val="Heading1"/>
        <w:jc w:val="left"/>
      </w:pPr>
      <w:r>
        <w:t>7. Conclusion</w:t>
      </w:r>
    </w:p>
    <w:p>
      <w:r>
        <w:t>The Azure Enterprise Terraform codebase represents a well-intentioned, enterprise-aligned module library. The security defaults, lifecycle preconditions, tagging strategy, and hub-and-spoke networking design are all strong. The finserv-api workload stack in particular demonstrates exactly the composition pattern that all teams should use.</w:t>
        <w:br/>
        <w:br/>
        <w:t>However, the coexistence of this well-structured library alongside the per-resource HCP workspace pattern (terraform-azurerm-compeer-*) is creating the drift the client is experiencing. These two patterns are fundamentally incompatible: one manages resources as a holistic, dependency-aware stack; the other manages them as isolated, uncoordinated resource islands.</w:t>
        <w:br/>
        <w:br/>
      </w:r>
      <w:r>
        <w:rPr>
          <w:b/>
        </w:rPr>
        <w:t>The path forward is clear and actionable:</w:t>
        <w:br/>
      </w:r>
    </w:p>
    <w:p>
      <w:pPr>
        <w:pStyle w:val="ListBullet"/>
      </w:pPr>
      <w:r>
        <w:rPr>
          <w:b/>
        </w:rPr>
        <w:t xml:space="preserve">1. </w:t>
      </w:r>
      <w:r>
        <w:t>Stop creating new per-resource HCP workspaces immediately</w:t>
      </w:r>
    </w:p>
    <w:p>
      <w:pPr>
        <w:pStyle w:val="ListBullet"/>
      </w:pPr>
      <w:r>
        <w:rPr>
          <w:b/>
        </w:rPr>
        <w:t xml:space="preserve">2. </w:t>
      </w:r>
      <w:r>
        <w:t>Migrate existing per-resource workspaces into the appropriate stack (platform or workload) using terraform state mv</w:t>
      </w:r>
    </w:p>
    <w:p>
      <w:pPr>
        <w:pStyle w:val="ListBullet"/>
      </w:pPr>
      <w:r>
        <w:rPr>
          <w:b/>
        </w:rPr>
        <w:t xml:space="preserve">3. </w:t>
      </w:r>
      <w:r>
        <w:t>Publish the module library to HCP Private Registry with v1.0.0 tags</w:t>
      </w:r>
    </w:p>
    <w:p>
      <w:pPr>
        <w:pStyle w:val="ListBullet"/>
      </w:pPr>
      <w:r>
        <w:rPr>
          <w:b/>
        </w:rPr>
        <w:t xml:space="preserve">4. </w:t>
      </w:r>
      <w:r>
        <w:t>Apply the targeted module fixes identified in Section 3 (especially function_app, naming, vnet-spoke, apim, storage)</w:t>
      </w:r>
    </w:p>
    <w:p>
      <w:pPr>
        <w:pStyle w:val="ListBullet"/>
      </w:pPr>
      <w:r>
        <w:rPr>
          <w:b/>
        </w:rPr>
        <w:t xml:space="preserve">5. </w:t>
      </w:r>
      <w:r>
        <w:t>Create new modules for event grid, availability sets, defender, and other resources currently handled outside the library</w:t>
      </w:r>
    </w:p>
    <w:p>
      <w:pPr>
        <w:pStyle w:val="ListBullet"/>
      </w:pPr>
      <w:r>
        <w:rPr>
          <w:b/>
        </w:rPr>
        <w:t xml:space="preserve">6. </w:t>
      </w:r>
      <w:r>
        <w:t>Enforce private registry source via HCP Sentinel policies — no raw git source in production stacks</w:t>
      </w:r>
    </w:p>
    <w:p/>
    <w:p>
      <w:r>
        <w:t>With these changes in place, HCP workspace runs will be deterministic, cross-team consumption will require only module version pinning, and infrastructure drift will be structurally prevented rather than reactively remediated.</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