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rial" w:hAnsi="Arial"/>
          <w:b w:val="0"/>
          <w:i w:val="0"/>
          <w:color w:val="111111"/>
          <w:sz w:val="21"/>
        </w:rPr>
        <w:t>Compeer Terraform Module Decomposition Rationale</w:t>
      </w:r>
    </w:p>
    <w:p>
      <w:pPr>
        <w:spacing w:after="120"/>
      </w:pPr>
      <w:r>
        <w:rPr>
          <w:rFonts w:ascii="Arial" w:hAnsi="Arial"/>
          <w:b w:val="0"/>
          <w:i w:val="0"/>
          <w:color w:val="444444"/>
          <w:sz w:val="18"/>
        </w:rPr>
        <w:t>Prepared May 6, 2026 as a companion to the module re-architecture blueprint.</w:t>
      </w:r>
    </w:p>
    <w:p>
      <w:pPr>
        <w:pStyle w:val="Heading1"/>
        <w:spacing w:before="160" w:after="80"/>
      </w:pPr>
      <w:r>
        <w:rPr>
          <w:rFonts w:ascii="Arial" w:hAnsi="Arial"/>
          <w:b w:val="0"/>
          <w:i w:val="0"/>
          <w:color w:val="111111"/>
          <w:sz w:val="21"/>
        </w:rPr>
        <w:t>Purpose</w:t>
      </w:r>
    </w:p>
    <w:p>
      <w:pPr>
        <w:spacing w:after="120"/>
      </w:pPr>
      <w:r>
        <w:rPr>
          <w:rFonts w:ascii="Arial" w:hAnsi="Arial"/>
          <w:b w:val="0"/>
          <w:i w:val="0"/>
          <w:color w:val="111111"/>
          <w:sz w:val="21"/>
        </w:rPr>
        <w:t>This write-up explains why the modules should be broken down into smaller companion components and what kinds of enterprise requirements usually force that separation. The short version is that the recommended splits are not for elegance alone. They are to avoid drift, reduce blast radius, support different owners, and make the same base modules usable across many applications without custom stitching.</w:t>
      </w:r>
    </w:p>
    <w:p>
      <w:pPr>
        <w:pStyle w:val="Heading1"/>
        <w:spacing w:before="160" w:after="80"/>
      </w:pPr>
      <w:r>
        <w:rPr>
          <w:rFonts w:ascii="Arial" w:hAnsi="Arial"/>
          <w:b w:val="0"/>
          <w:i w:val="0"/>
          <w:color w:val="111111"/>
          <w:sz w:val="21"/>
        </w:rPr>
        <w:t>Why The Breakdown Is Necessary</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160"/>
            <w:vAlign w:val="top"/>
            <w:shd w:val="clear" w:color="auto" w:fill="DDEBF7"/>
          </w:tcPr>
          <w:p>
            <w:pPr>
              <w:spacing w:after="0" w:before="0"/>
              <w:jc w:val="left"/>
            </w:pPr>
            <w:r>
              <w:rPr>
                <w:rFonts w:ascii="Arial" w:hAnsi="Arial"/>
                <w:b/>
                <w:i w:val="0"/>
                <w:color w:val="111111"/>
                <w:sz w:val="18"/>
              </w:rPr>
              <w:t>Architecture Driver</w:t>
            </w:r>
          </w:p>
        </w:tc>
        <w:tc>
          <w:tcPr>
            <w:tcW w:type="dxa" w:w="5184"/>
            <w:vAlign w:val="top"/>
            <w:shd w:val="clear" w:color="auto" w:fill="DDEBF7"/>
          </w:tcPr>
          <w:p>
            <w:pPr>
              <w:spacing w:after="0" w:before="0"/>
              <w:jc w:val="left"/>
            </w:pPr>
            <w:r>
              <w:rPr>
                <w:rFonts w:ascii="Arial" w:hAnsi="Arial"/>
                <w:b/>
                <w:i w:val="0"/>
                <w:color w:val="111111"/>
                <w:sz w:val="18"/>
              </w:rPr>
              <w:t>Why It Matters</w:t>
            </w:r>
          </w:p>
        </w:tc>
        <w:tc>
          <w:tcPr>
            <w:tcW w:type="dxa" w:w="6408"/>
            <w:vAlign w:val="top"/>
            <w:shd w:val="clear" w:color="auto" w:fill="DDEBF7"/>
          </w:tcPr>
          <w:p>
            <w:pPr>
              <w:spacing w:after="0" w:before="0"/>
              <w:jc w:val="left"/>
            </w:pPr>
            <w:r>
              <w:rPr>
                <w:rFonts w:ascii="Arial" w:hAnsi="Arial"/>
                <w:b/>
                <w:i w:val="0"/>
                <w:color w:val="111111"/>
                <w:sz w:val="18"/>
              </w:rPr>
              <w:t>What It Usually Forces You To Separate</w:t>
            </w:r>
          </w:p>
        </w:tc>
      </w:tr>
      <w:tr>
        <w:tc>
          <w:tcPr>
            <w:tcW w:type="dxa" w:w="2160"/>
            <w:vAlign w:val="top"/>
            <w:shd w:val="clear" w:color="auto" w:fill="F8FBFE"/>
          </w:tcPr>
          <w:p>
            <w:pPr>
              <w:spacing w:after="0" w:before="0"/>
              <w:jc w:val="left"/>
            </w:pPr>
            <w:r>
              <w:rPr>
                <w:rFonts w:ascii="Arial" w:hAnsi="Arial"/>
                <w:b/>
                <w:i w:val="0"/>
                <w:color w:val="111111"/>
                <w:sz w:val="18"/>
              </w:rPr>
              <w:t>Different owners</w:t>
            </w:r>
          </w:p>
        </w:tc>
        <w:tc>
          <w:tcPr>
            <w:tcW w:type="dxa" w:w="5184"/>
            <w:vAlign w:val="top"/>
            <w:shd w:val="clear" w:color="auto" w:fill="F8FBFE"/>
          </w:tcPr>
          <w:p>
            <w:pPr>
              <w:spacing w:after="0" w:before="0"/>
              <w:jc w:val="left"/>
            </w:pPr>
            <w:r>
              <w:rPr>
                <w:rFonts w:ascii="Arial" w:hAnsi="Arial"/>
                <w:b w:val="0"/>
                <w:i w:val="0"/>
                <w:color w:val="111111"/>
                <w:sz w:val="18"/>
              </w:rPr>
              <w:t>Platform, security, networking, and application teams rarely own the same resource changes. If one module owns all of it, every change becomes a coordination problem or a drift problem.</w:t>
            </w:r>
          </w:p>
        </w:tc>
        <w:tc>
          <w:tcPr>
            <w:tcW w:type="dxa" w:w="6408"/>
            <w:vAlign w:val="top"/>
            <w:shd w:val="clear" w:color="auto" w:fill="F8FBFE"/>
          </w:tcPr>
          <w:p>
            <w:pPr>
              <w:spacing w:after="0" w:before="0"/>
              <w:jc w:val="left"/>
            </w:pPr>
            <w:r>
              <w:rPr>
                <w:rFonts w:ascii="Arial" w:hAnsi="Arial"/>
                <w:b w:val="0"/>
                <w:i w:val="0"/>
                <w:color w:val="111111"/>
                <w:sz w:val="18"/>
              </w:rPr>
              <w:t>Access control, DNS links, private endpoints, subnet associations, policies, and application-specific child resources.</w:t>
            </w:r>
          </w:p>
        </w:tc>
      </w:tr>
      <w:tr>
        <w:tc>
          <w:tcPr>
            <w:tcW w:type="dxa" w:w="2160"/>
            <w:vAlign w:val="top"/>
          </w:tcPr>
          <w:p>
            <w:pPr>
              <w:spacing w:after="0" w:before="0"/>
              <w:jc w:val="left"/>
            </w:pPr>
            <w:r>
              <w:rPr>
                <w:rFonts w:ascii="Arial" w:hAnsi="Arial"/>
                <w:b/>
                <w:i w:val="0"/>
                <w:color w:val="111111"/>
                <w:sz w:val="18"/>
              </w:rPr>
              <w:t>Different change cadence</w:t>
            </w:r>
          </w:p>
        </w:tc>
        <w:tc>
          <w:tcPr>
            <w:tcW w:type="dxa" w:w="5184"/>
            <w:vAlign w:val="top"/>
          </w:tcPr>
          <w:p>
            <w:pPr>
              <w:spacing w:after="0" w:before="0"/>
              <w:jc w:val="left"/>
            </w:pPr>
            <w:r>
              <w:rPr>
                <w:rFonts w:ascii="Arial" w:hAnsi="Arial"/>
                <w:b w:val="0"/>
                <w:i w:val="0"/>
                <w:color w:val="111111"/>
                <w:sz w:val="18"/>
              </w:rPr>
              <w:t>Core infrastructure changes slowly, while secrets, APIs, storage containers, certificates, and monitoring rules change often. Mixing those lifecycles increases plan churn and deployment risk.</w:t>
            </w:r>
          </w:p>
        </w:tc>
        <w:tc>
          <w:tcPr>
            <w:tcW w:type="dxa" w:w="6408"/>
            <w:vAlign w:val="top"/>
          </w:tcPr>
          <w:p>
            <w:pPr>
              <w:spacing w:after="0" w:before="0"/>
              <w:jc w:val="left"/>
            </w:pPr>
            <w:r>
              <w:rPr>
                <w:rFonts w:ascii="Arial" w:hAnsi="Arial"/>
                <w:b w:val="0"/>
                <w:i w:val="0"/>
                <w:color w:val="111111"/>
                <w:sz w:val="18"/>
              </w:rPr>
              <w:t>Secrets, keys, certificates, APIs, product links, storage children, alert rules, guest extensions, and app configuration.</w:t>
            </w:r>
          </w:p>
        </w:tc>
      </w:tr>
      <w:tr>
        <w:tc>
          <w:tcPr>
            <w:tcW w:type="dxa" w:w="2160"/>
            <w:vAlign w:val="top"/>
            <w:shd w:val="clear" w:color="auto" w:fill="F8FBFE"/>
          </w:tcPr>
          <w:p>
            <w:pPr>
              <w:spacing w:after="0" w:before="0"/>
              <w:jc w:val="left"/>
            </w:pPr>
            <w:r>
              <w:rPr>
                <w:rFonts w:ascii="Arial" w:hAnsi="Arial"/>
                <w:b/>
                <w:i w:val="0"/>
                <w:color w:val="111111"/>
                <w:sz w:val="18"/>
              </w:rPr>
              <w:t>Control plane vs data plane</w:t>
            </w:r>
          </w:p>
        </w:tc>
        <w:tc>
          <w:tcPr>
            <w:tcW w:type="dxa" w:w="5184"/>
            <w:vAlign w:val="top"/>
            <w:shd w:val="clear" w:color="auto" w:fill="F8FBFE"/>
          </w:tcPr>
          <w:p>
            <w:pPr>
              <w:spacing w:after="0" w:before="0"/>
              <w:jc w:val="left"/>
            </w:pPr>
            <w:r>
              <w:rPr>
                <w:rFonts w:ascii="Arial" w:hAnsi="Arial"/>
                <w:b w:val="0"/>
                <w:i w:val="0"/>
                <w:color w:val="111111"/>
                <w:sz w:val="18"/>
              </w:rPr>
              <w:t>Terraform behaves more predictably when the base resource lifecycle is isolated from the objects that live inside or attach to that resource.</w:t>
            </w:r>
          </w:p>
        </w:tc>
        <w:tc>
          <w:tcPr>
            <w:tcW w:type="dxa" w:w="6408"/>
            <w:vAlign w:val="top"/>
            <w:shd w:val="clear" w:color="auto" w:fill="F8FBFE"/>
          </w:tcPr>
          <w:p>
            <w:pPr>
              <w:spacing w:after="0" w:before="0"/>
              <w:jc w:val="left"/>
            </w:pPr>
            <w:r>
              <w:rPr>
                <w:rFonts w:ascii="Arial" w:hAnsi="Arial"/>
                <w:b w:val="0"/>
                <w:i w:val="0"/>
                <w:color w:val="111111"/>
                <w:sz w:val="18"/>
              </w:rPr>
              <w:t>Storage account vs containers and blobs, Key Vault vs secrets and certificates, Event Grid topic vs subscriptions, SQL server vs databases.</w:t>
            </w:r>
          </w:p>
        </w:tc>
      </w:tr>
      <w:tr>
        <w:tc>
          <w:tcPr>
            <w:tcW w:type="dxa" w:w="2160"/>
            <w:vAlign w:val="top"/>
          </w:tcPr>
          <w:p>
            <w:pPr>
              <w:spacing w:after="0" w:before="0"/>
              <w:jc w:val="left"/>
            </w:pPr>
            <w:r>
              <w:rPr>
                <w:rFonts w:ascii="Arial" w:hAnsi="Arial"/>
                <w:b/>
                <w:i w:val="0"/>
                <w:color w:val="111111"/>
                <w:sz w:val="18"/>
              </w:rPr>
              <w:t>Security and compliance approvals</w:t>
            </w:r>
          </w:p>
        </w:tc>
        <w:tc>
          <w:tcPr>
            <w:tcW w:type="dxa" w:w="5184"/>
            <w:vAlign w:val="top"/>
          </w:tcPr>
          <w:p>
            <w:pPr>
              <w:spacing w:after="0" w:before="0"/>
              <w:jc w:val="left"/>
            </w:pPr>
            <w:r>
              <w:rPr>
                <w:rFonts w:ascii="Arial" w:hAnsi="Arial"/>
                <w:b w:val="0"/>
                <w:i w:val="0"/>
                <w:color w:val="111111"/>
                <w:sz w:val="18"/>
              </w:rPr>
              <w:t>Private connectivity, RBAC, key rotation, diagnostics, backup, and alerting often have separate approval and audit requirements from the base resource.</w:t>
            </w:r>
          </w:p>
        </w:tc>
        <w:tc>
          <w:tcPr>
            <w:tcW w:type="dxa" w:w="6408"/>
            <w:vAlign w:val="top"/>
          </w:tcPr>
          <w:p>
            <w:pPr>
              <w:spacing w:after="0" w:before="0"/>
              <w:jc w:val="left"/>
            </w:pPr>
            <w:r>
              <w:rPr>
                <w:rFonts w:ascii="Arial" w:hAnsi="Arial"/>
                <w:b w:val="0"/>
                <w:i w:val="0"/>
                <w:color w:val="111111"/>
                <w:sz w:val="18"/>
              </w:rPr>
              <w:t>RBAC modules, private endpoint modules, diagnostics modules, alert modules, backup modules, and key rotation modules.</w:t>
            </w:r>
          </w:p>
        </w:tc>
      </w:tr>
      <w:tr>
        <w:tc>
          <w:tcPr>
            <w:tcW w:type="dxa" w:w="2160"/>
            <w:vAlign w:val="top"/>
            <w:shd w:val="clear" w:color="auto" w:fill="F8FBFE"/>
          </w:tcPr>
          <w:p>
            <w:pPr>
              <w:spacing w:after="0" w:before="0"/>
              <w:jc w:val="left"/>
            </w:pPr>
            <w:r>
              <w:rPr>
                <w:rFonts w:ascii="Arial" w:hAnsi="Arial"/>
                <w:b/>
                <w:i w:val="0"/>
                <w:color w:val="111111"/>
                <w:sz w:val="18"/>
              </w:rPr>
              <w:t>Blast radius reduction</w:t>
            </w:r>
          </w:p>
        </w:tc>
        <w:tc>
          <w:tcPr>
            <w:tcW w:type="dxa" w:w="5184"/>
            <w:vAlign w:val="top"/>
            <w:shd w:val="clear" w:color="auto" w:fill="F8FBFE"/>
          </w:tcPr>
          <w:p>
            <w:pPr>
              <w:spacing w:after="0" w:before="0"/>
              <w:jc w:val="left"/>
            </w:pPr>
            <w:r>
              <w:rPr>
                <w:rFonts w:ascii="Arial" w:hAnsi="Arial"/>
                <w:b w:val="0"/>
                <w:i w:val="0"/>
                <w:color w:val="111111"/>
                <w:sz w:val="18"/>
              </w:rPr>
              <w:t>When too many concerns live in one module, a small change can affect networking, access, data, and application behavior at once.</w:t>
            </w:r>
          </w:p>
        </w:tc>
        <w:tc>
          <w:tcPr>
            <w:tcW w:type="dxa" w:w="6408"/>
            <w:vAlign w:val="top"/>
            <w:shd w:val="clear" w:color="auto" w:fill="F8FBFE"/>
          </w:tcPr>
          <w:p>
            <w:pPr>
              <w:spacing w:after="0" w:before="0"/>
              <w:jc w:val="left"/>
            </w:pPr>
            <w:r>
              <w:rPr>
                <w:rFonts w:ascii="Arial" w:hAnsi="Arial"/>
                <w:b w:val="0"/>
                <w:i w:val="0"/>
                <w:color w:val="111111"/>
                <w:sz w:val="18"/>
              </w:rPr>
              <w:t>Networking attachments, access assignments, data-plane children, and workload extensions.</w:t>
            </w:r>
          </w:p>
        </w:tc>
      </w:tr>
      <w:tr>
        <w:tc>
          <w:tcPr>
            <w:tcW w:type="dxa" w:w="2160"/>
            <w:vAlign w:val="top"/>
          </w:tcPr>
          <w:p>
            <w:pPr>
              <w:spacing w:after="0" w:before="0"/>
              <w:jc w:val="left"/>
            </w:pPr>
            <w:r>
              <w:rPr>
                <w:rFonts w:ascii="Arial" w:hAnsi="Arial"/>
                <w:b/>
                <w:i w:val="0"/>
                <w:color w:val="111111"/>
                <w:sz w:val="18"/>
              </w:rPr>
              <w:t>Enterprise reuse</w:t>
            </w:r>
          </w:p>
        </w:tc>
        <w:tc>
          <w:tcPr>
            <w:tcW w:type="dxa" w:w="5184"/>
            <w:vAlign w:val="top"/>
          </w:tcPr>
          <w:p>
            <w:pPr>
              <w:spacing w:after="0" w:before="0"/>
              <w:jc w:val="left"/>
            </w:pPr>
            <w:r>
              <w:rPr>
                <w:rFonts w:ascii="Arial" w:hAnsi="Arial"/>
                <w:b w:val="0"/>
                <w:i w:val="0"/>
                <w:color w:val="111111"/>
                <w:sz w:val="18"/>
              </w:rPr>
              <w:t>A reusable module must work for teams that need only the base resource, and also for teams that need the enterprise add-ons. A single all-in-one module does not do that well.</w:t>
            </w:r>
          </w:p>
        </w:tc>
        <w:tc>
          <w:tcPr>
            <w:tcW w:type="dxa" w:w="6408"/>
            <w:vAlign w:val="top"/>
          </w:tcPr>
          <w:p>
            <w:pPr>
              <w:spacing w:after="0" w:before="0"/>
              <w:jc w:val="left"/>
            </w:pPr>
            <w:r>
              <w:rPr>
                <w:rFonts w:ascii="Arial" w:hAnsi="Arial"/>
                <w:b w:val="0"/>
                <w:i w:val="0"/>
                <w:color w:val="111111"/>
                <w:sz w:val="18"/>
              </w:rPr>
              <w:t>Core modules plus optional companion modules and thin pattern compositions.</w:t>
            </w:r>
          </w:p>
        </w:tc>
      </w:tr>
      <w:tr>
        <w:tc>
          <w:tcPr>
            <w:tcW w:type="dxa" w:w="2160"/>
            <w:vAlign w:val="top"/>
            <w:shd w:val="clear" w:color="auto" w:fill="F8FBFE"/>
          </w:tcPr>
          <w:p>
            <w:pPr>
              <w:spacing w:after="0" w:before="0"/>
              <w:jc w:val="left"/>
            </w:pPr>
            <w:r>
              <w:rPr>
                <w:rFonts w:ascii="Arial" w:hAnsi="Arial"/>
                <w:b/>
                <w:i w:val="0"/>
                <w:color w:val="111111"/>
                <w:sz w:val="18"/>
              </w:rPr>
              <w:t>Provider and Azure drift behavior</w:t>
            </w:r>
          </w:p>
        </w:tc>
        <w:tc>
          <w:tcPr>
            <w:tcW w:type="dxa" w:w="5184"/>
            <w:vAlign w:val="top"/>
            <w:shd w:val="clear" w:color="auto" w:fill="F8FBFE"/>
          </w:tcPr>
          <w:p>
            <w:pPr>
              <w:spacing w:after="0" w:before="0"/>
              <w:jc w:val="left"/>
            </w:pPr>
            <w:r>
              <w:rPr>
                <w:rFonts w:ascii="Arial" w:hAnsi="Arial"/>
                <w:b w:val="0"/>
                <w:i w:val="0"/>
                <w:color w:val="111111"/>
                <w:sz w:val="18"/>
              </w:rPr>
              <w:t xml:space="preserve">Many overloaded modules end up using </w:t>
            </w:r>
            <w:r>
              <w:rPr>
                <w:rFonts w:ascii="Consolas" w:hAnsi="Consolas"/>
                <w:b w:val="0"/>
                <w:i w:val="0"/>
                <w:color w:val="111111"/>
                <w:sz w:val="18"/>
              </w:rPr>
              <w:t>ignore_changes</w:t>
            </w:r>
            <w:r>
              <w:rPr>
                <w:rFonts w:ascii="Arial" w:hAnsi="Arial"/>
                <w:b w:val="0"/>
                <w:i w:val="0"/>
                <w:color w:val="111111"/>
                <w:sz w:val="18"/>
              </w:rPr>
              <w:t xml:space="preserve"> to survive external updates. That is usually a sign that ownership boundaries are mixed.</w:t>
            </w:r>
          </w:p>
        </w:tc>
        <w:tc>
          <w:tcPr>
            <w:tcW w:type="dxa" w:w="6408"/>
            <w:vAlign w:val="top"/>
            <w:shd w:val="clear" w:color="auto" w:fill="F8FBFE"/>
          </w:tcPr>
          <w:p>
            <w:pPr>
              <w:spacing w:after="0" w:before="0"/>
              <w:jc w:val="left"/>
            </w:pPr>
            <w:r>
              <w:rPr>
                <w:rFonts w:ascii="Arial" w:hAnsi="Arial"/>
                <w:b w:val="0"/>
                <w:i w:val="0"/>
                <w:color w:val="111111"/>
                <w:sz w:val="18"/>
              </w:rPr>
              <w:t>Association resources, diagnostics resources, tags exceptions, and operational wrappers should be isolated and explicitly justified.</w:t>
            </w:r>
          </w:p>
        </w:tc>
      </w:tr>
    </w:tbl>
    <w:p/>
    <w:p>
      <w:pPr>
        <w:pStyle w:val="Heading1"/>
        <w:spacing w:before="160" w:after="80"/>
      </w:pPr>
      <w:r>
        <w:rPr>
          <w:rFonts w:ascii="Arial" w:hAnsi="Arial"/>
          <w:b w:val="0"/>
          <w:i w:val="0"/>
          <w:color w:val="111111"/>
          <w:sz w:val="21"/>
        </w:rPr>
        <w:t>Why Each Component Type Should Be Separate</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160"/>
            <w:vAlign w:val="top"/>
            <w:shd w:val="clear" w:color="auto" w:fill="DDEBF7"/>
          </w:tcPr>
          <w:p>
            <w:pPr>
              <w:spacing w:after="0" w:before="0"/>
              <w:jc w:val="left"/>
            </w:pPr>
            <w:r>
              <w:rPr>
                <w:rFonts w:ascii="Arial" w:hAnsi="Arial"/>
                <w:b/>
                <w:i w:val="0"/>
                <w:color w:val="111111"/>
                <w:sz w:val="18"/>
              </w:rPr>
              <w:t>Component Or Concern</w:t>
            </w:r>
          </w:p>
        </w:tc>
        <w:tc>
          <w:tcPr>
            <w:tcW w:type="dxa" w:w="5184"/>
            <w:vAlign w:val="top"/>
            <w:shd w:val="clear" w:color="auto" w:fill="DDEBF7"/>
          </w:tcPr>
          <w:p>
            <w:pPr>
              <w:spacing w:after="0" w:before="0"/>
              <w:jc w:val="left"/>
            </w:pPr>
            <w:r>
              <w:rPr>
                <w:rFonts w:ascii="Arial" w:hAnsi="Arial"/>
                <w:b/>
                <w:i w:val="0"/>
                <w:color w:val="111111"/>
                <w:sz w:val="18"/>
              </w:rPr>
              <w:t>Why It Should Be Broken Out</w:t>
            </w:r>
          </w:p>
        </w:tc>
        <w:tc>
          <w:tcPr>
            <w:tcW w:type="dxa" w:w="6408"/>
            <w:vAlign w:val="top"/>
            <w:shd w:val="clear" w:color="auto" w:fill="DDEBF7"/>
          </w:tcPr>
          <w:p>
            <w:pPr>
              <w:spacing w:after="0" w:before="0"/>
              <w:jc w:val="left"/>
            </w:pPr>
            <w:r>
              <w:rPr>
                <w:rFonts w:ascii="Arial" w:hAnsi="Arial"/>
                <w:b/>
                <w:i w:val="0"/>
                <w:color w:val="111111"/>
                <w:sz w:val="18"/>
              </w:rPr>
              <w:t>What Could Require That Separation</w:t>
            </w:r>
          </w:p>
        </w:tc>
      </w:tr>
      <w:tr>
        <w:tc>
          <w:tcPr>
            <w:tcW w:type="dxa" w:w="2160"/>
            <w:vAlign w:val="top"/>
            <w:shd w:val="clear" w:color="auto" w:fill="F8FBFE"/>
          </w:tcPr>
          <w:p>
            <w:pPr>
              <w:spacing w:after="0" w:before="0"/>
              <w:jc w:val="left"/>
            </w:pPr>
            <w:r>
              <w:rPr>
                <w:rFonts w:ascii="Arial" w:hAnsi="Arial"/>
                <w:b/>
                <w:i w:val="0"/>
                <w:color w:val="111111"/>
                <w:sz w:val="18"/>
              </w:rPr>
              <w:t>RBAC and access policies</w:t>
            </w:r>
          </w:p>
        </w:tc>
        <w:tc>
          <w:tcPr>
            <w:tcW w:type="dxa" w:w="5184"/>
            <w:vAlign w:val="top"/>
            <w:shd w:val="clear" w:color="auto" w:fill="F8FBFE"/>
          </w:tcPr>
          <w:p>
            <w:pPr>
              <w:spacing w:after="0" w:before="0"/>
              <w:jc w:val="left"/>
            </w:pPr>
            <w:r>
              <w:rPr>
                <w:rFonts w:ascii="Arial" w:hAnsi="Arial"/>
                <w:b w:val="0"/>
                <w:i w:val="0"/>
                <w:color w:val="111111"/>
                <w:sz w:val="18"/>
              </w:rPr>
              <w:t>Access is frequently managed by a different team and changes more often than the base resource. It is also one of the biggest sources of drift in shared environments.</w:t>
            </w:r>
          </w:p>
        </w:tc>
        <w:tc>
          <w:tcPr>
            <w:tcW w:type="dxa" w:w="6408"/>
            <w:vAlign w:val="top"/>
            <w:shd w:val="clear" w:color="auto" w:fill="F8FBFE"/>
          </w:tcPr>
          <w:p>
            <w:pPr>
              <w:spacing w:after="0" w:before="0"/>
              <w:jc w:val="left"/>
            </w:pPr>
            <w:r>
              <w:rPr>
                <w:rFonts w:ascii="Arial" w:hAnsi="Arial"/>
                <w:b w:val="0"/>
                <w:i w:val="0"/>
                <w:color w:val="111111"/>
                <w:sz w:val="18"/>
              </w:rPr>
              <w:t>App onboarding, new managed identities, temporary elevated access, security reviews, separation of duties, and RBAC-first governance.</w:t>
            </w:r>
          </w:p>
        </w:tc>
      </w:tr>
      <w:tr>
        <w:tc>
          <w:tcPr>
            <w:tcW w:type="dxa" w:w="2160"/>
            <w:vAlign w:val="top"/>
          </w:tcPr>
          <w:p>
            <w:pPr>
              <w:spacing w:after="0" w:before="0"/>
              <w:jc w:val="left"/>
            </w:pPr>
            <w:r>
              <w:rPr>
                <w:rFonts w:ascii="Arial" w:hAnsi="Arial"/>
                <w:b/>
                <w:i w:val="0"/>
                <w:color w:val="111111"/>
                <w:sz w:val="18"/>
              </w:rPr>
              <w:t>Private endpoints</w:t>
            </w:r>
          </w:p>
        </w:tc>
        <w:tc>
          <w:tcPr>
            <w:tcW w:type="dxa" w:w="5184"/>
            <w:vAlign w:val="top"/>
          </w:tcPr>
          <w:p>
            <w:pPr>
              <w:spacing w:after="0" w:before="0"/>
              <w:jc w:val="left"/>
            </w:pPr>
            <w:r>
              <w:rPr>
                <w:rFonts w:ascii="Arial" w:hAnsi="Arial"/>
                <w:b w:val="0"/>
                <w:i w:val="0"/>
                <w:color w:val="111111"/>
                <w:sz w:val="18"/>
              </w:rPr>
              <w:t>Private connectivity introduces subnet, DNS, network approval, and regional constraints that are operationally different from the base service lifecycle.</w:t>
            </w:r>
          </w:p>
        </w:tc>
        <w:tc>
          <w:tcPr>
            <w:tcW w:type="dxa" w:w="6408"/>
            <w:vAlign w:val="top"/>
          </w:tcPr>
          <w:p>
            <w:pPr>
              <w:spacing w:after="0" w:before="0"/>
              <w:jc w:val="left"/>
            </w:pPr>
            <w:r>
              <w:rPr>
                <w:rFonts w:ascii="Arial" w:hAnsi="Arial"/>
                <w:b w:val="0"/>
                <w:i w:val="0"/>
                <w:color w:val="111111"/>
                <w:sz w:val="18"/>
              </w:rPr>
              <w:t>Enterprise network isolation, zero public access policies, hub-spoke networking, centralized DNS ownership, and phased private adoption.</w:t>
            </w:r>
          </w:p>
        </w:tc>
      </w:tr>
      <w:tr>
        <w:tc>
          <w:tcPr>
            <w:tcW w:type="dxa" w:w="2160"/>
            <w:vAlign w:val="top"/>
            <w:shd w:val="clear" w:color="auto" w:fill="F8FBFE"/>
          </w:tcPr>
          <w:p>
            <w:pPr>
              <w:spacing w:after="0" w:before="0"/>
              <w:jc w:val="left"/>
            </w:pPr>
            <w:r>
              <w:rPr>
                <w:rFonts w:ascii="Arial" w:hAnsi="Arial"/>
                <w:b/>
                <w:i w:val="0"/>
                <w:color w:val="111111"/>
                <w:sz w:val="18"/>
              </w:rPr>
              <w:t>DNS zone groups and VNet links</w:t>
            </w:r>
          </w:p>
        </w:tc>
        <w:tc>
          <w:tcPr>
            <w:tcW w:type="dxa" w:w="5184"/>
            <w:vAlign w:val="top"/>
            <w:shd w:val="clear" w:color="auto" w:fill="F8FBFE"/>
          </w:tcPr>
          <w:p>
            <w:pPr>
              <w:spacing w:after="0" w:before="0"/>
              <w:jc w:val="left"/>
            </w:pPr>
            <w:r>
              <w:rPr>
                <w:rFonts w:ascii="Arial" w:hAnsi="Arial"/>
                <w:b w:val="0"/>
                <w:i w:val="0"/>
                <w:color w:val="111111"/>
                <w:sz w:val="18"/>
              </w:rPr>
              <w:t>DNS is often owned centrally and may need to be changed without redeploying the service or the private endpoint.</w:t>
            </w:r>
          </w:p>
        </w:tc>
        <w:tc>
          <w:tcPr>
            <w:tcW w:type="dxa" w:w="6408"/>
            <w:vAlign w:val="top"/>
            <w:shd w:val="clear" w:color="auto" w:fill="F8FBFE"/>
          </w:tcPr>
          <w:p>
            <w:pPr>
              <w:spacing w:after="0" w:before="0"/>
              <w:jc w:val="left"/>
            </w:pPr>
            <w:r>
              <w:rPr>
                <w:rFonts w:ascii="Arial" w:hAnsi="Arial"/>
                <w:b w:val="0"/>
                <w:i w:val="0"/>
                <w:color w:val="111111"/>
                <w:sz w:val="18"/>
              </w:rPr>
              <w:t>Central networking ownership, shared private DNS zones, cross-subscription links, and landing zone standards.</w:t>
            </w:r>
          </w:p>
        </w:tc>
      </w:tr>
      <w:tr>
        <w:tc>
          <w:tcPr>
            <w:tcW w:type="dxa" w:w="2160"/>
            <w:vAlign w:val="top"/>
          </w:tcPr>
          <w:p>
            <w:pPr>
              <w:spacing w:after="0" w:before="0"/>
              <w:jc w:val="left"/>
            </w:pPr>
            <w:r>
              <w:rPr>
                <w:rFonts w:ascii="Arial" w:hAnsi="Arial"/>
                <w:b/>
                <w:i w:val="0"/>
                <w:color w:val="111111"/>
                <w:sz w:val="18"/>
              </w:rPr>
              <w:t>Diagnostic settings and alerts</w:t>
            </w:r>
          </w:p>
        </w:tc>
        <w:tc>
          <w:tcPr>
            <w:tcW w:type="dxa" w:w="5184"/>
            <w:vAlign w:val="top"/>
          </w:tcPr>
          <w:p>
            <w:pPr>
              <w:spacing w:after="0" w:before="0"/>
              <w:jc w:val="left"/>
            </w:pPr>
            <w:r>
              <w:rPr>
                <w:rFonts w:ascii="Arial" w:hAnsi="Arial"/>
                <w:b w:val="0"/>
                <w:i w:val="0"/>
                <w:color w:val="111111"/>
                <w:sz w:val="18"/>
              </w:rPr>
              <w:t>Monitoring is a cross-cutting operational concern. It should be reusable and consistently attached across services without changing the base service contract.</w:t>
            </w:r>
          </w:p>
        </w:tc>
        <w:tc>
          <w:tcPr>
            <w:tcW w:type="dxa" w:w="6408"/>
            <w:vAlign w:val="top"/>
          </w:tcPr>
          <w:p>
            <w:pPr>
              <w:spacing w:after="0" w:before="0"/>
              <w:jc w:val="left"/>
            </w:pPr>
            <w:r>
              <w:rPr>
                <w:rFonts w:ascii="Arial" w:hAnsi="Arial"/>
                <w:b w:val="0"/>
                <w:i w:val="0"/>
                <w:color w:val="111111"/>
                <w:sz w:val="18"/>
              </w:rPr>
              <w:t>Audit requirements, SOC monitoring, cost optimization, Log Analytics routing changes, and service-specific alert thresholds.</w:t>
            </w:r>
          </w:p>
        </w:tc>
      </w:tr>
      <w:tr>
        <w:tc>
          <w:tcPr>
            <w:tcW w:type="dxa" w:w="2160"/>
            <w:vAlign w:val="top"/>
            <w:shd w:val="clear" w:color="auto" w:fill="F8FBFE"/>
          </w:tcPr>
          <w:p>
            <w:pPr>
              <w:spacing w:after="0" w:before="0"/>
              <w:jc w:val="left"/>
            </w:pPr>
            <w:r>
              <w:rPr>
                <w:rFonts w:ascii="Arial" w:hAnsi="Arial"/>
                <w:b/>
                <w:i w:val="0"/>
                <w:color w:val="111111"/>
                <w:sz w:val="18"/>
              </w:rPr>
              <w:t>Secrets, keys, and certificates</w:t>
            </w:r>
          </w:p>
        </w:tc>
        <w:tc>
          <w:tcPr>
            <w:tcW w:type="dxa" w:w="5184"/>
            <w:vAlign w:val="top"/>
            <w:shd w:val="clear" w:color="auto" w:fill="F8FBFE"/>
          </w:tcPr>
          <w:p>
            <w:pPr>
              <w:spacing w:after="0" w:before="0"/>
              <w:jc w:val="left"/>
            </w:pPr>
            <w:r>
              <w:rPr>
                <w:rFonts w:ascii="Arial" w:hAnsi="Arial"/>
                <w:b w:val="0"/>
                <w:i w:val="0"/>
                <w:color w:val="111111"/>
                <w:sz w:val="18"/>
              </w:rPr>
              <w:t>These rotate and change on an application cadence, not on the same cadence as the vault or HSM. They are classic data-plane objects.</w:t>
            </w:r>
          </w:p>
        </w:tc>
        <w:tc>
          <w:tcPr>
            <w:tcW w:type="dxa" w:w="6408"/>
            <w:vAlign w:val="top"/>
            <w:shd w:val="clear" w:color="auto" w:fill="F8FBFE"/>
          </w:tcPr>
          <w:p>
            <w:pPr>
              <w:spacing w:after="0" w:before="0"/>
              <w:jc w:val="left"/>
            </w:pPr>
            <w:r>
              <w:rPr>
                <w:rFonts w:ascii="Arial" w:hAnsi="Arial"/>
                <w:b w:val="0"/>
                <w:i w:val="0"/>
                <w:color w:val="111111"/>
                <w:sz w:val="18"/>
              </w:rPr>
              <w:t>Certificate renewals, secret rotation, app rollout changes, key rotation policy, and environment-specific credential sets.</w:t>
            </w:r>
          </w:p>
        </w:tc>
      </w:tr>
      <w:tr>
        <w:tc>
          <w:tcPr>
            <w:tcW w:type="dxa" w:w="2160"/>
            <w:vAlign w:val="top"/>
          </w:tcPr>
          <w:p>
            <w:pPr>
              <w:spacing w:after="0" w:before="0"/>
              <w:jc w:val="left"/>
            </w:pPr>
            <w:r>
              <w:rPr>
                <w:rFonts w:ascii="Arial" w:hAnsi="Arial"/>
                <w:b/>
                <w:i w:val="0"/>
                <w:color w:val="111111"/>
                <w:sz w:val="18"/>
              </w:rPr>
              <w:t>Storage children</w:t>
            </w:r>
          </w:p>
        </w:tc>
        <w:tc>
          <w:tcPr>
            <w:tcW w:type="dxa" w:w="5184"/>
            <w:vAlign w:val="top"/>
          </w:tcPr>
          <w:p>
            <w:pPr>
              <w:spacing w:after="0" w:before="0"/>
              <w:jc w:val="left"/>
            </w:pPr>
            <w:r>
              <w:rPr>
                <w:rFonts w:ascii="Arial" w:hAnsi="Arial"/>
                <w:b w:val="0"/>
                <w:i w:val="0"/>
                <w:color w:val="111111"/>
                <w:sz w:val="18"/>
              </w:rPr>
              <w:t>Containers, blobs, queues, tables, and shares are workload-owned data-plane objects. Keeping them inside the storage account module couples platform ownership to app data ownership.</w:t>
            </w:r>
          </w:p>
        </w:tc>
        <w:tc>
          <w:tcPr>
            <w:tcW w:type="dxa" w:w="6408"/>
            <w:vAlign w:val="top"/>
          </w:tcPr>
          <w:p>
            <w:pPr>
              <w:spacing w:after="0" w:before="0"/>
              <w:jc w:val="left"/>
            </w:pPr>
            <w:r>
              <w:rPr>
                <w:rFonts w:ascii="Arial" w:hAnsi="Arial"/>
                <w:b w:val="0"/>
                <w:i w:val="0"/>
                <w:color w:val="111111"/>
                <w:sz w:val="18"/>
              </w:rPr>
              <w:t>Multiple apps sharing one account, new containers for features, retention changes, app-specific data segmentation, and delegated application ownership.</w:t>
            </w:r>
          </w:p>
        </w:tc>
      </w:tr>
      <w:tr>
        <w:tc>
          <w:tcPr>
            <w:tcW w:type="dxa" w:w="2160"/>
            <w:vAlign w:val="top"/>
            <w:shd w:val="clear" w:color="auto" w:fill="F8FBFE"/>
          </w:tcPr>
          <w:p>
            <w:pPr>
              <w:spacing w:after="0" w:before="0"/>
              <w:jc w:val="left"/>
            </w:pPr>
            <w:r>
              <w:rPr>
                <w:rFonts w:ascii="Arial" w:hAnsi="Arial"/>
                <w:b/>
                <w:i w:val="0"/>
                <w:color w:val="111111"/>
                <w:sz w:val="18"/>
              </w:rPr>
              <w:t>Database children and security add-ons</w:t>
            </w:r>
          </w:p>
        </w:tc>
        <w:tc>
          <w:tcPr>
            <w:tcW w:type="dxa" w:w="5184"/>
            <w:vAlign w:val="top"/>
            <w:shd w:val="clear" w:color="auto" w:fill="F8FBFE"/>
          </w:tcPr>
          <w:p>
            <w:pPr>
              <w:spacing w:after="0" w:before="0"/>
              <w:jc w:val="left"/>
            </w:pPr>
            <w:r>
              <w:rPr>
                <w:rFonts w:ascii="Arial" w:hAnsi="Arial"/>
                <w:b w:val="0"/>
                <w:i w:val="0"/>
                <w:color w:val="111111"/>
                <w:sz w:val="18"/>
              </w:rPr>
              <w:t>Server lifecycle, database lifecycle, auditing, threat detection, and networking often move at different speeds and may be approved by different teams.</w:t>
            </w:r>
          </w:p>
        </w:tc>
        <w:tc>
          <w:tcPr>
            <w:tcW w:type="dxa" w:w="6408"/>
            <w:vAlign w:val="top"/>
            <w:shd w:val="clear" w:color="auto" w:fill="F8FBFE"/>
          </w:tcPr>
          <w:p>
            <w:pPr>
              <w:spacing w:after="0" w:before="0"/>
              <w:jc w:val="left"/>
            </w:pPr>
            <w:r>
              <w:rPr>
                <w:rFonts w:ascii="Arial" w:hAnsi="Arial"/>
                <w:b w:val="0"/>
                <w:i w:val="0"/>
                <w:color w:val="111111"/>
                <w:sz w:val="18"/>
              </w:rPr>
              <w:t>New database creation, app onboarding, auditing changes, private access rollout, threat detection tuning, and failover expansion.</w:t>
            </w:r>
          </w:p>
        </w:tc>
      </w:tr>
      <w:tr>
        <w:tc>
          <w:tcPr>
            <w:tcW w:type="dxa" w:w="2160"/>
            <w:vAlign w:val="top"/>
          </w:tcPr>
          <w:p>
            <w:pPr>
              <w:spacing w:after="0" w:before="0"/>
              <w:jc w:val="left"/>
            </w:pPr>
            <w:r>
              <w:rPr>
                <w:rFonts w:ascii="Arial" w:hAnsi="Arial"/>
                <w:b/>
                <w:i w:val="0"/>
                <w:color w:val="111111"/>
                <w:sz w:val="18"/>
              </w:rPr>
              <w:t>APIM APIs, products, backends, and policies</w:t>
            </w:r>
          </w:p>
        </w:tc>
        <w:tc>
          <w:tcPr>
            <w:tcW w:type="dxa" w:w="5184"/>
            <w:vAlign w:val="top"/>
          </w:tcPr>
          <w:p>
            <w:pPr>
              <w:spacing w:after="0" w:before="0"/>
              <w:jc w:val="left"/>
            </w:pPr>
            <w:r>
              <w:rPr>
                <w:rFonts w:ascii="Arial" w:hAnsi="Arial"/>
                <w:b w:val="0"/>
                <w:i w:val="0"/>
                <w:color w:val="111111"/>
                <w:sz w:val="18"/>
              </w:rPr>
              <w:t>The APIM service is a platform asset, but APIs and products evolve with application delivery. Keeping them together creates constant churn in the service module.</w:t>
            </w:r>
          </w:p>
        </w:tc>
        <w:tc>
          <w:tcPr>
            <w:tcW w:type="dxa" w:w="6408"/>
            <w:vAlign w:val="top"/>
          </w:tcPr>
          <w:p>
            <w:pPr>
              <w:spacing w:after="0" w:before="0"/>
              <w:jc w:val="left"/>
            </w:pPr>
            <w:r>
              <w:rPr>
                <w:rFonts w:ascii="Arial" w:hAnsi="Arial"/>
                <w:b w:val="0"/>
                <w:i w:val="0"/>
                <w:color w:val="111111"/>
                <w:sz w:val="18"/>
              </w:rPr>
              <w:t>New API onboarding, API versioning, backend changes, policy rollout, product packaging, and app team release cycles.</w:t>
            </w:r>
          </w:p>
        </w:tc>
      </w:tr>
      <w:tr>
        <w:tc>
          <w:tcPr>
            <w:tcW w:type="dxa" w:w="2160"/>
            <w:vAlign w:val="top"/>
            <w:shd w:val="clear" w:color="auto" w:fill="F8FBFE"/>
          </w:tcPr>
          <w:p>
            <w:pPr>
              <w:spacing w:after="0" w:before="0"/>
              <w:jc w:val="left"/>
            </w:pPr>
            <w:r>
              <w:rPr>
                <w:rFonts w:ascii="Arial" w:hAnsi="Arial"/>
                <w:b/>
                <w:i w:val="0"/>
                <w:color w:val="111111"/>
                <w:sz w:val="18"/>
              </w:rPr>
              <w:t>Event Grid subscriptions</w:t>
            </w:r>
          </w:p>
        </w:tc>
        <w:tc>
          <w:tcPr>
            <w:tcW w:type="dxa" w:w="5184"/>
            <w:vAlign w:val="top"/>
            <w:shd w:val="clear" w:color="auto" w:fill="F8FBFE"/>
          </w:tcPr>
          <w:p>
            <w:pPr>
              <w:spacing w:after="0" w:before="0"/>
              <w:jc w:val="left"/>
            </w:pPr>
            <w:r>
              <w:rPr>
                <w:rFonts w:ascii="Arial" w:hAnsi="Arial"/>
                <w:b w:val="0"/>
                <w:i w:val="0"/>
                <w:color w:val="111111"/>
                <w:sz w:val="18"/>
              </w:rPr>
              <w:t>Topics are often platform-owned while subscriptions are consumer-owned. Putting them in one module assumes one owner and one release cycle.</w:t>
            </w:r>
          </w:p>
        </w:tc>
        <w:tc>
          <w:tcPr>
            <w:tcW w:type="dxa" w:w="6408"/>
            <w:vAlign w:val="top"/>
            <w:shd w:val="clear" w:color="auto" w:fill="F8FBFE"/>
          </w:tcPr>
          <w:p>
            <w:pPr>
              <w:spacing w:after="0" w:before="0"/>
              <w:jc w:val="left"/>
            </w:pPr>
            <w:r>
              <w:rPr>
                <w:rFonts w:ascii="Arial" w:hAnsi="Arial"/>
                <w:b w:val="0"/>
                <w:i w:val="0"/>
                <w:color w:val="111111"/>
                <w:sz w:val="18"/>
              </w:rPr>
              <w:t>Multiple downstream consumers, subscription-specific retry rules, dead-letter configuration, event filtering, and new subscriber onboarding.</w:t>
            </w:r>
          </w:p>
        </w:tc>
      </w:tr>
      <w:tr>
        <w:tc>
          <w:tcPr>
            <w:tcW w:type="dxa" w:w="2160"/>
            <w:vAlign w:val="top"/>
          </w:tcPr>
          <w:p>
            <w:pPr>
              <w:spacing w:after="0" w:before="0"/>
              <w:jc w:val="left"/>
            </w:pPr>
            <w:r>
              <w:rPr>
                <w:rFonts w:ascii="Arial" w:hAnsi="Arial"/>
                <w:b/>
                <w:i w:val="0"/>
                <w:color w:val="111111"/>
                <w:sz w:val="18"/>
              </w:rPr>
              <w:t>Guest extensions, AD join, and custom scripts</w:t>
            </w:r>
          </w:p>
        </w:tc>
        <w:tc>
          <w:tcPr>
            <w:tcW w:type="dxa" w:w="5184"/>
            <w:vAlign w:val="top"/>
          </w:tcPr>
          <w:p>
            <w:pPr>
              <w:spacing w:after="0" w:before="0"/>
              <w:jc w:val="left"/>
            </w:pPr>
            <w:r>
              <w:rPr>
                <w:rFonts w:ascii="Arial" w:hAnsi="Arial"/>
                <w:b w:val="0"/>
                <w:i w:val="0"/>
                <w:color w:val="111111"/>
                <w:sz w:val="18"/>
              </w:rPr>
              <w:t>These are post-provisioning workload operations, not part of the stable compute lifecycle. They also fail for reasons unrelated to VM creation.</w:t>
            </w:r>
          </w:p>
        </w:tc>
        <w:tc>
          <w:tcPr>
            <w:tcW w:type="dxa" w:w="6408"/>
            <w:vAlign w:val="top"/>
          </w:tcPr>
          <w:p>
            <w:pPr>
              <w:spacing w:after="0" w:before="0"/>
              <w:jc w:val="left"/>
            </w:pPr>
            <w:r>
              <w:rPr>
                <w:rFonts w:ascii="Arial" w:hAnsi="Arial"/>
                <w:b w:val="0"/>
                <w:i w:val="0"/>
                <w:color w:val="111111"/>
                <w:sz w:val="18"/>
              </w:rPr>
              <w:t>Domain join timing, OU placement, credential rotation, custom bootstrap scripts, patching logic, and storage or network dependencies.</w:t>
            </w:r>
          </w:p>
        </w:tc>
      </w:tr>
      <w:tr>
        <w:tc>
          <w:tcPr>
            <w:tcW w:type="dxa" w:w="2160"/>
            <w:vAlign w:val="top"/>
            <w:shd w:val="clear" w:color="auto" w:fill="F8FBFE"/>
          </w:tcPr>
          <w:p>
            <w:pPr>
              <w:spacing w:after="0" w:before="0"/>
              <w:jc w:val="left"/>
            </w:pPr>
            <w:r>
              <w:rPr>
                <w:rFonts w:ascii="Arial" w:hAnsi="Arial"/>
                <w:b/>
                <w:i w:val="0"/>
                <w:color w:val="111111"/>
                <w:sz w:val="18"/>
              </w:rPr>
              <w:t>NSG, NAT, route table, and other associations</w:t>
            </w:r>
          </w:p>
        </w:tc>
        <w:tc>
          <w:tcPr>
            <w:tcW w:type="dxa" w:w="5184"/>
            <w:vAlign w:val="top"/>
            <w:shd w:val="clear" w:color="auto" w:fill="F8FBFE"/>
          </w:tcPr>
          <w:p>
            <w:pPr>
              <w:spacing w:after="0" w:before="0"/>
              <w:jc w:val="left"/>
            </w:pPr>
            <w:r>
              <w:rPr>
                <w:rFonts w:ascii="Arial" w:hAnsi="Arial"/>
                <w:b w:val="0"/>
                <w:i w:val="0"/>
                <w:color w:val="111111"/>
                <w:sz w:val="18"/>
              </w:rPr>
              <w:t>Attachment resources tend to create ownership collisions because one team owns the network object and another owns the thing being attached.</w:t>
            </w:r>
          </w:p>
        </w:tc>
        <w:tc>
          <w:tcPr>
            <w:tcW w:type="dxa" w:w="6408"/>
            <w:vAlign w:val="top"/>
            <w:shd w:val="clear" w:color="auto" w:fill="F8FBFE"/>
          </w:tcPr>
          <w:p>
            <w:pPr>
              <w:spacing w:after="0" w:before="0"/>
              <w:jc w:val="left"/>
            </w:pPr>
            <w:r>
              <w:rPr>
                <w:rFonts w:ascii="Arial" w:hAnsi="Arial"/>
                <w:b w:val="0"/>
                <w:i w:val="0"/>
                <w:color w:val="111111"/>
                <w:sz w:val="18"/>
              </w:rPr>
              <w:t>Shared subnets, central networking teams, phased rollout of network controls, policy-driven route changes, and workload migration across subnets.</w:t>
            </w:r>
          </w:p>
        </w:tc>
      </w:tr>
      <w:tr>
        <w:tc>
          <w:tcPr>
            <w:tcW w:type="dxa" w:w="2160"/>
            <w:vAlign w:val="top"/>
          </w:tcPr>
          <w:p>
            <w:pPr>
              <w:spacing w:after="0" w:before="0"/>
              <w:jc w:val="left"/>
            </w:pPr>
            <w:r>
              <w:rPr>
                <w:rFonts w:ascii="Arial" w:hAnsi="Arial"/>
                <w:b/>
                <w:i w:val="0"/>
                <w:color w:val="111111"/>
                <w:sz w:val="18"/>
              </w:rPr>
              <w:t>Public IP creation vs attachment</w:t>
            </w:r>
          </w:p>
        </w:tc>
        <w:tc>
          <w:tcPr>
            <w:tcW w:type="dxa" w:w="5184"/>
            <w:vAlign w:val="top"/>
          </w:tcPr>
          <w:p>
            <w:pPr>
              <w:spacing w:after="0" w:before="0"/>
              <w:jc w:val="left"/>
            </w:pPr>
            <w:r>
              <w:rPr>
                <w:rFonts w:ascii="Arial" w:hAnsi="Arial"/>
                <w:b w:val="0"/>
                <w:i w:val="0"/>
                <w:color w:val="111111"/>
                <w:sz w:val="18"/>
              </w:rPr>
              <w:t>Some teams want the core service module to create its IPs, while others need to attach pre-approved or pre-existing IPs. Those are different operational models.</w:t>
            </w:r>
          </w:p>
        </w:tc>
        <w:tc>
          <w:tcPr>
            <w:tcW w:type="dxa" w:w="6408"/>
            <w:vAlign w:val="top"/>
          </w:tcPr>
          <w:p>
            <w:pPr>
              <w:spacing w:after="0" w:before="0"/>
              <w:jc w:val="left"/>
            </w:pPr>
            <w:r>
              <w:rPr>
                <w:rFonts w:ascii="Arial" w:hAnsi="Arial"/>
                <w:b w:val="0"/>
                <w:i w:val="0"/>
                <w:color w:val="111111"/>
                <w:sz w:val="18"/>
              </w:rPr>
              <w:t>Reserved IP standards, firewall allowlists, cost ownership, regional IP planning, and shared public ingress patterns.</w:t>
            </w:r>
          </w:p>
        </w:tc>
      </w:tr>
      <w:tr>
        <w:tc>
          <w:tcPr>
            <w:tcW w:type="dxa" w:w="2160"/>
            <w:vAlign w:val="top"/>
            <w:shd w:val="clear" w:color="auto" w:fill="F8FBFE"/>
          </w:tcPr>
          <w:p>
            <w:pPr>
              <w:spacing w:after="0" w:before="0"/>
              <w:jc w:val="left"/>
            </w:pPr>
            <w:r>
              <w:rPr>
                <w:rFonts w:ascii="Arial" w:hAnsi="Arial"/>
                <w:b/>
                <w:i w:val="0"/>
                <w:color w:val="111111"/>
                <w:sz w:val="18"/>
              </w:rPr>
              <w:t>Application authentication, backup, slots, and private integration</w:t>
            </w:r>
          </w:p>
        </w:tc>
        <w:tc>
          <w:tcPr>
            <w:tcW w:type="dxa" w:w="5184"/>
            <w:vAlign w:val="top"/>
            <w:shd w:val="clear" w:color="auto" w:fill="F8FBFE"/>
          </w:tcPr>
          <w:p>
            <w:pPr>
              <w:spacing w:after="0" w:before="0"/>
              <w:jc w:val="left"/>
            </w:pPr>
            <w:r>
              <w:rPr>
                <w:rFonts w:ascii="Arial" w:hAnsi="Arial"/>
                <w:b w:val="0"/>
                <w:i w:val="0"/>
                <w:color w:val="111111"/>
                <w:sz w:val="18"/>
              </w:rPr>
              <w:t>These are optional workload features. Keeping them inside the base app module makes the contract too heavy and harder for teams to consume consistently.</w:t>
            </w:r>
          </w:p>
        </w:tc>
        <w:tc>
          <w:tcPr>
            <w:tcW w:type="dxa" w:w="6408"/>
            <w:vAlign w:val="top"/>
            <w:shd w:val="clear" w:color="auto" w:fill="F8FBFE"/>
          </w:tcPr>
          <w:p>
            <w:pPr>
              <w:spacing w:after="0" w:before="0"/>
              <w:jc w:val="left"/>
            </w:pPr>
            <w:r>
              <w:rPr>
                <w:rFonts w:ascii="Arial" w:hAnsi="Arial"/>
                <w:b w:val="0"/>
                <w:i w:val="0"/>
                <w:color w:val="111111"/>
                <w:sz w:val="18"/>
              </w:rPr>
              <w:t>Auth provider onboarding, internal-only apps, blue-green deployment with slots, backup policy requirements, and private network access mandates.</w:t>
            </w:r>
          </w:p>
        </w:tc>
      </w:tr>
      <w:tr>
        <w:tc>
          <w:tcPr>
            <w:tcW w:type="dxa" w:w="2160"/>
            <w:vAlign w:val="top"/>
          </w:tcPr>
          <w:p>
            <w:pPr>
              <w:spacing w:after="0" w:before="0"/>
              <w:jc w:val="left"/>
            </w:pPr>
            <w:r>
              <w:rPr>
                <w:rFonts w:ascii="Arial" w:hAnsi="Arial"/>
                <w:b/>
                <w:i w:val="0"/>
                <w:color w:val="111111"/>
                <w:sz w:val="18"/>
              </w:rPr>
              <w:t>Application Gateway WAF policy and certificates</w:t>
            </w:r>
          </w:p>
        </w:tc>
        <w:tc>
          <w:tcPr>
            <w:tcW w:type="dxa" w:w="5184"/>
            <w:vAlign w:val="top"/>
          </w:tcPr>
          <w:p>
            <w:pPr>
              <w:spacing w:after="0" w:before="0"/>
              <w:jc w:val="left"/>
            </w:pPr>
            <w:r>
              <w:rPr>
                <w:rFonts w:ascii="Arial" w:hAnsi="Arial"/>
                <w:b w:val="0"/>
                <w:i w:val="0"/>
                <w:color w:val="111111"/>
                <w:sz w:val="18"/>
              </w:rPr>
              <w:t>Gateway routing config is tightly tied to the gateway, but WAF policy and certificate sourcing often have separate approval, ownership, and rotation lifecycles.</w:t>
            </w:r>
          </w:p>
        </w:tc>
        <w:tc>
          <w:tcPr>
            <w:tcW w:type="dxa" w:w="6408"/>
            <w:vAlign w:val="top"/>
          </w:tcPr>
          <w:p>
            <w:pPr>
              <w:spacing w:after="0" w:before="0"/>
              <w:jc w:val="left"/>
            </w:pPr>
            <w:r>
              <w:rPr>
                <w:rFonts w:ascii="Arial" w:hAnsi="Arial"/>
                <w:b w:val="0"/>
                <w:i w:val="0"/>
                <w:color w:val="111111"/>
                <w:sz w:val="18"/>
              </w:rPr>
              <w:t>Security-owned WAF rules, Key Vault certificate rotation, multi-site certificate management, and policy exceptions per app domain.</w:t>
            </w:r>
          </w:p>
        </w:tc>
      </w:tr>
      <w:tr>
        <w:tc>
          <w:tcPr>
            <w:tcW w:type="dxa" w:w="2160"/>
            <w:vAlign w:val="top"/>
            <w:shd w:val="clear" w:color="auto" w:fill="F8FBFE"/>
          </w:tcPr>
          <w:p>
            <w:pPr>
              <w:spacing w:after="0" w:before="0"/>
              <w:jc w:val="left"/>
            </w:pPr>
            <w:r>
              <w:rPr>
                <w:rFonts w:ascii="Arial" w:hAnsi="Arial"/>
                <w:b/>
                <w:i w:val="0"/>
                <w:color w:val="111111"/>
                <w:sz w:val="18"/>
              </w:rPr>
              <w:t>Synapse filesystem, pools, and private access</w:t>
            </w:r>
          </w:p>
        </w:tc>
        <w:tc>
          <w:tcPr>
            <w:tcW w:type="dxa" w:w="5184"/>
            <w:vAlign w:val="top"/>
            <w:shd w:val="clear" w:color="auto" w:fill="F8FBFE"/>
          </w:tcPr>
          <w:p>
            <w:pPr>
              <w:spacing w:after="0" w:before="0"/>
              <w:jc w:val="left"/>
            </w:pPr>
            <w:r>
              <w:rPr>
                <w:rFonts w:ascii="Arial" w:hAnsi="Arial"/>
                <w:b w:val="0"/>
                <w:i w:val="0"/>
                <w:color w:val="111111"/>
                <w:sz w:val="18"/>
              </w:rPr>
              <w:t>Workspace bootstrap, storage dependencies, compute pools, and networking controls are not always created or managed together.</w:t>
            </w:r>
          </w:p>
        </w:tc>
        <w:tc>
          <w:tcPr>
            <w:tcW w:type="dxa" w:w="6408"/>
            <w:vAlign w:val="top"/>
            <w:shd w:val="clear" w:color="auto" w:fill="F8FBFE"/>
          </w:tcPr>
          <w:p>
            <w:pPr>
              <w:spacing w:after="0" w:before="0"/>
              <w:jc w:val="left"/>
            </w:pPr>
            <w:r>
              <w:rPr>
                <w:rFonts w:ascii="Arial" w:hAnsi="Arial"/>
                <w:b w:val="0"/>
                <w:i w:val="0"/>
                <w:color w:val="111111"/>
                <w:sz w:val="18"/>
              </w:rPr>
              <w:t>Platform-managed data lake, phased analytics rollout, private-only access, managed VNet requirements, and pool scaling by workload team.</w:t>
            </w:r>
          </w:p>
        </w:tc>
      </w:tr>
    </w:tbl>
    <w:p/>
    <w:p>
      <w:pPr>
        <w:pStyle w:val="Heading1"/>
        <w:spacing w:before="160" w:after="80"/>
      </w:pPr>
      <w:r>
        <w:rPr>
          <w:rFonts w:ascii="Arial" w:hAnsi="Arial"/>
          <w:b w:val="0"/>
          <w:i w:val="0"/>
          <w:color w:val="111111"/>
          <w:sz w:val="21"/>
        </w:rPr>
        <w:t>Module-By-Module Rationale</w:t>
      </w:r>
    </w:p>
    <w:p>
      <w:pPr>
        <w:spacing w:after="120"/>
      </w:pPr>
      <w:r>
        <w:rPr>
          <w:rFonts w:ascii="Arial" w:hAnsi="Arial"/>
          <w:b w:val="0"/>
          <w:i w:val="0"/>
          <w:color w:val="111111"/>
          <w:sz w:val="21"/>
        </w:rPr>
        <w:t>This section gives the same level of direct explanation for each reviewed module: why the decomposition matters, what should not stay coupled to the base module, and what enterprise conditions usually force the separation.</w:t>
      </w:r>
    </w:p>
    <w:p>
      <w:pPr>
        <w:pStyle w:val="Heading2"/>
        <w:spacing w:before="120" w:after="60"/>
      </w:pPr>
      <w:r>
        <w:rPr>
          <w:rFonts w:ascii="Arial" w:hAnsi="Arial"/>
          <w:b w:val="0"/>
          <w:i w:val="0"/>
          <w:color w:val="111111"/>
          <w:sz w:val="21"/>
        </w:rPr>
        <w:t>Compute</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088"/>
            <w:vAlign w:val="top"/>
            <w:shd w:val="clear" w:color="auto" w:fill="DDEBF7"/>
          </w:tcPr>
          <w:p>
            <w:pPr>
              <w:spacing w:after="0" w:before="0"/>
              <w:jc w:val="left"/>
            </w:pPr>
            <w:r>
              <w:rPr>
                <w:rFonts w:ascii="Arial" w:hAnsi="Arial"/>
                <w:b/>
                <w:i w:val="0"/>
                <w:color w:val="111111"/>
                <w:sz w:val="18"/>
              </w:rPr>
              <w:t>Module</w:t>
            </w:r>
          </w:p>
        </w:tc>
        <w:tc>
          <w:tcPr>
            <w:tcW w:type="dxa" w:w="3528"/>
            <w:vAlign w:val="top"/>
            <w:shd w:val="clear" w:color="auto" w:fill="DDEBF7"/>
          </w:tcPr>
          <w:p>
            <w:pPr>
              <w:spacing w:after="0" w:before="0"/>
              <w:jc w:val="left"/>
            </w:pPr>
            <w:r>
              <w:rPr>
                <w:rFonts w:ascii="Arial" w:hAnsi="Arial"/>
                <w:b/>
                <w:i w:val="0"/>
                <w:color w:val="111111"/>
                <w:sz w:val="18"/>
              </w:rPr>
              <w:t>Why The Split Or Refactor Matters</w:t>
            </w:r>
          </w:p>
        </w:tc>
        <w:tc>
          <w:tcPr>
            <w:tcW w:type="dxa" w:w="3240"/>
            <w:vAlign w:val="top"/>
            <w:shd w:val="clear" w:color="auto" w:fill="DDEBF7"/>
          </w:tcPr>
          <w:p>
            <w:pPr>
              <w:spacing w:after="0" w:before="0"/>
              <w:jc w:val="left"/>
            </w:pPr>
            <w:r>
              <w:rPr>
                <w:rFonts w:ascii="Arial" w:hAnsi="Arial"/>
                <w:b/>
                <w:i w:val="0"/>
                <w:color w:val="111111"/>
                <w:sz w:val="18"/>
              </w:rPr>
              <w:t>What Should Not Stay Coupled To The Base Module</w:t>
            </w:r>
          </w:p>
        </w:tc>
        <w:tc>
          <w:tcPr>
            <w:tcW w:type="dxa" w:w="5544"/>
            <w:vAlign w:val="top"/>
            <w:shd w:val="clear" w:color="auto" w:fill="DDEBF7"/>
          </w:tcPr>
          <w:p>
            <w:pPr>
              <w:spacing w:after="0" w:before="0"/>
              <w:jc w:val="left"/>
            </w:pPr>
            <w:r>
              <w:rPr>
                <w:rFonts w:ascii="Arial" w:hAnsi="Arial"/>
                <w:b/>
                <w:i w:val="0"/>
                <w:color w:val="111111"/>
                <w:sz w:val="18"/>
              </w:rPr>
              <w:t>What Usually Requires The Separation</w:t>
            </w:r>
          </w:p>
        </w:tc>
      </w:tr>
      <w:tr>
        <w:tc>
          <w:tcPr>
            <w:tcW w:type="dxa" w:w="2088"/>
            <w:vAlign w:val="top"/>
            <w:shd w:val="clear" w:color="auto" w:fill="F8FBFE"/>
          </w:tcPr>
          <w:p>
            <w:pPr>
              <w:spacing w:after="0" w:before="0"/>
              <w:jc w:val="left"/>
            </w:pPr>
            <w:r>
              <w:rPr>
                <w:rFonts w:ascii="Arial" w:hAnsi="Arial"/>
                <w:b/>
                <w:i w:val="0"/>
                <w:color w:val="111111"/>
                <w:sz w:val="18"/>
              </w:rPr>
              <w:t>Windows VM</w:t>
            </w:r>
          </w:p>
        </w:tc>
        <w:tc>
          <w:tcPr>
            <w:tcW w:type="dxa" w:w="3528"/>
            <w:vAlign w:val="top"/>
            <w:shd w:val="clear" w:color="auto" w:fill="F8FBFE"/>
          </w:tcPr>
          <w:p>
            <w:pPr>
              <w:spacing w:after="0" w:before="0"/>
              <w:jc w:val="left"/>
            </w:pPr>
            <w:r>
              <w:rPr>
                <w:rFonts w:ascii="Arial" w:hAnsi="Arial"/>
                <w:b w:val="0"/>
                <w:i w:val="0"/>
                <w:color w:val="111111"/>
                <w:sz w:val="18"/>
              </w:rPr>
              <w:t>The VM itself is a stable platform object, but domain join, disk partitioning, custom scripts, and guest extensions are post-provisioning operational behaviors. Keeping them together makes the VM module heavy and turns guest-configuration failures into compute deployment problems.</w:t>
            </w:r>
          </w:p>
        </w:tc>
        <w:tc>
          <w:tcPr>
            <w:tcW w:type="dxa" w:w="3240"/>
            <w:vAlign w:val="top"/>
            <w:shd w:val="clear" w:color="auto" w:fill="F8FBFE"/>
          </w:tcPr>
          <w:p>
            <w:pPr>
              <w:spacing w:after="0" w:before="0"/>
              <w:jc w:val="left"/>
            </w:pPr>
            <w:r>
              <w:rPr>
                <w:rFonts w:ascii="Arial" w:hAnsi="Arial"/>
                <w:b w:val="0"/>
                <w:i w:val="0"/>
                <w:color w:val="111111"/>
                <w:sz w:val="18"/>
              </w:rPr>
              <w:t>AD join, disk formatting or partitioning, custom script extensions, application bootstrap, and advanced NIC add-ons.</w:t>
            </w:r>
          </w:p>
        </w:tc>
        <w:tc>
          <w:tcPr>
            <w:tcW w:type="dxa" w:w="5544"/>
            <w:vAlign w:val="top"/>
            <w:shd w:val="clear" w:color="auto" w:fill="F8FBFE"/>
          </w:tcPr>
          <w:p>
            <w:pPr>
              <w:spacing w:after="0" w:before="0"/>
              <w:jc w:val="left"/>
            </w:pPr>
            <w:r>
              <w:rPr>
                <w:rFonts w:ascii="Arial" w:hAnsi="Arial"/>
                <w:b w:val="0"/>
                <w:i w:val="0"/>
                <w:color w:val="111111"/>
                <w:sz w:val="18"/>
              </w:rPr>
              <w:t>AD dependencies, OU placement, credential rotation, SQL-style disk layouts, workload-specific bootstrap scripts, and different ownership between platform and server operations teams.</w:t>
            </w:r>
          </w:p>
        </w:tc>
      </w:tr>
      <w:tr>
        <w:tc>
          <w:tcPr>
            <w:tcW w:type="dxa" w:w="2088"/>
            <w:vAlign w:val="top"/>
          </w:tcPr>
          <w:p>
            <w:pPr>
              <w:spacing w:after="0" w:before="0"/>
              <w:jc w:val="left"/>
            </w:pPr>
            <w:r>
              <w:rPr>
                <w:rFonts w:ascii="Arial" w:hAnsi="Arial"/>
                <w:b/>
                <w:i w:val="0"/>
                <w:color w:val="111111"/>
                <w:sz w:val="18"/>
              </w:rPr>
              <w:t>Windows Function App</w:t>
            </w:r>
          </w:p>
        </w:tc>
        <w:tc>
          <w:tcPr>
            <w:tcW w:type="dxa" w:w="3528"/>
            <w:vAlign w:val="top"/>
          </w:tcPr>
          <w:p>
            <w:pPr>
              <w:spacing w:after="0" w:before="0"/>
              <w:jc w:val="left"/>
            </w:pPr>
            <w:r>
              <w:rPr>
                <w:rFonts w:ascii="Arial" w:hAnsi="Arial"/>
                <w:b w:val="0"/>
                <w:i w:val="0"/>
                <w:color w:val="111111"/>
                <w:sz w:val="18"/>
              </w:rPr>
              <w:t>The base app should stay simple so teams can deploy a function app without inheriting every possible auth, backup, slot, and networking variation. Optional features create a much cleaner and more reusable contract when separated.</w:t>
            </w:r>
          </w:p>
        </w:tc>
        <w:tc>
          <w:tcPr>
            <w:tcW w:type="dxa" w:w="3240"/>
            <w:vAlign w:val="top"/>
          </w:tcPr>
          <w:p>
            <w:pPr>
              <w:spacing w:after="0" w:before="0"/>
              <w:jc w:val="left"/>
            </w:pPr>
            <w:r>
              <w:rPr>
                <w:rFonts w:ascii="Arial" w:hAnsi="Arial"/>
                <w:b w:val="0"/>
                <w:i w:val="0"/>
                <w:color w:val="111111"/>
                <w:sz w:val="18"/>
              </w:rPr>
              <w:t>VNet integration, private endpoints, auth providers, backup configuration, deployment slots, and monitoring wrappers.</w:t>
            </w:r>
          </w:p>
        </w:tc>
        <w:tc>
          <w:tcPr>
            <w:tcW w:type="dxa" w:w="5544"/>
            <w:vAlign w:val="top"/>
          </w:tcPr>
          <w:p>
            <w:pPr>
              <w:spacing w:after="0" w:before="0"/>
              <w:jc w:val="left"/>
            </w:pPr>
            <w:r>
              <w:rPr>
                <w:rFonts w:ascii="Arial" w:hAnsi="Arial"/>
                <w:b w:val="0"/>
                <w:i w:val="0"/>
                <w:color w:val="111111"/>
                <w:sz w:val="18"/>
              </w:rPr>
              <w:t>Internal-only apps, blue-green deployments, backup mandates, auth onboarding, and environment-specific network restrictions.</w:t>
            </w:r>
          </w:p>
        </w:tc>
      </w:tr>
      <w:tr>
        <w:tc>
          <w:tcPr>
            <w:tcW w:type="dxa" w:w="2088"/>
            <w:vAlign w:val="top"/>
            <w:shd w:val="clear" w:color="auto" w:fill="F8FBFE"/>
          </w:tcPr>
          <w:p>
            <w:pPr>
              <w:spacing w:after="0" w:before="0"/>
              <w:jc w:val="left"/>
            </w:pPr>
            <w:r>
              <w:rPr>
                <w:rFonts w:ascii="Arial" w:hAnsi="Arial"/>
                <w:b/>
                <w:i w:val="0"/>
                <w:color w:val="111111"/>
                <w:sz w:val="18"/>
              </w:rPr>
              <w:t>Windows Web App</w:t>
            </w:r>
          </w:p>
        </w:tc>
        <w:tc>
          <w:tcPr>
            <w:tcW w:type="dxa" w:w="3528"/>
            <w:vAlign w:val="top"/>
            <w:shd w:val="clear" w:color="auto" w:fill="F8FBFE"/>
          </w:tcPr>
          <w:p>
            <w:pPr>
              <w:spacing w:after="0" w:before="0"/>
              <w:jc w:val="left"/>
            </w:pPr>
            <w:r>
              <w:rPr>
                <w:rFonts w:ascii="Arial" w:hAnsi="Arial"/>
                <w:b w:val="0"/>
                <w:i w:val="0"/>
                <w:color w:val="111111"/>
                <w:sz w:val="18"/>
              </w:rPr>
              <w:t>Web App modules become difficult to consume when site config, auth, networking, domains, and operational features are all bundled into one contract. Separation keeps the base site usable across simple and advanced workloads.</w:t>
            </w:r>
          </w:p>
        </w:tc>
        <w:tc>
          <w:tcPr>
            <w:tcW w:type="dxa" w:w="3240"/>
            <w:vAlign w:val="top"/>
            <w:shd w:val="clear" w:color="auto" w:fill="F8FBFE"/>
          </w:tcPr>
          <w:p>
            <w:pPr>
              <w:spacing w:after="0" w:before="0"/>
              <w:jc w:val="left"/>
            </w:pPr>
            <w:r>
              <w:rPr>
                <w:rFonts w:ascii="Arial" w:hAnsi="Arial"/>
                <w:b w:val="0"/>
                <w:i w:val="0"/>
                <w:color w:val="111111"/>
                <w:sz w:val="18"/>
              </w:rPr>
              <w:t>Auth, private access, VNet integration, custom domains, slots, and app-specific operational features.</w:t>
            </w:r>
          </w:p>
        </w:tc>
        <w:tc>
          <w:tcPr>
            <w:tcW w:type="dxa" w:w="5544"/>
            <w:vAlign w:val="top"/>
            <w:shd w:val="clear" w:color="auto" w:fill="F8FBFE"/>
          </w:tcPr>
          <w:p>
            <w:pPr>
              <w:spacing w:after="0" w:before="0"/>
              <w:jc w:val="left"/>
            </w:pPr>
            <w:r>
              <w:rPr>
                <w:rFonts w:ascii="Arial" w:hAnsi="Arial"/>
                <w:b w:val="0"/>
                <w:i w:val="0"/>
                <w:color w:val="111111"/>
                <w:sz w:val="18"/>
              </w:rPr>
              <w:t>Public vs internal sites, identity-provider rollout, certificate-driven domains, staged releases, and different app team deployment patterns.</w:t>
            </w:r>
          </w:p>
        </w:tc>
      </w:tr>
      <w:tr>
        <w:tc>
          <w:tcPr>
            <w:tcW w:type="dxa" w:w="2088"/>
            <w:vAlign w:val="top"/>
          </w:tcPr>
          <w:p>
            <w:pPr>
              <w:spacing w:after="0" w:before="0"/>
              <w:jc w:val="left"/>
            </w:pPr>
            <w:r>
              <w:rPr>
                <w:rFonts w:ascii="Arial" w:hAnsi="Arial"/>
                <w:b/>
                <w:i w:val="0"/>
                <w:color w:val="111111"/>
                <w:sz w:val="18"/>
              </w:rPr>
              <w:t>Container Agent</w:t>
            </w:r>
          </w:p>
        </w:tc>
        <w:tc>
          <w:tcPr>
            <w:tcW w:type="dxa" w:w="3528"/>
            <w:vAlign w:val="top"/>
          </w:tcPr>
          <w:p>
            <w:pPr>
              <w:spacing w:after="0" w:before="0"/>
              <w:jc w:val="left"/>
            </w:pPr>
            <w:r>
              <w:rPr>
                <w:rFonts w:ascii="Arial" w:hAnsi="Arial"/>
                <w:b w:val="0"/>
                <w:i w:val="0"/>
                <w:color w:val="111111"/>
                <w:sz w:val="18"/>
              </w:rPr>
              <w:t>The runtime and container group are not the same concern as network restrictions, secret delivery, and monitoring. Splitting those pieces keeps the runtime module thin and easier to reuse.</w:t>
            </w:r>
          </w:p>
        </w:tc>
        <w:tc>
          <w:tcPr>
            <w:tcW w:type="dxa" w:w="3240"/>
            <w:vAlign w:val="top"/>
          </w:tcPr>
          <w:p>
            <w:pPr>
              <w:spacing w:after="0" w:before="0"/>
              <w:jc w:val="left"/>
            </w:pPr>
            <w:r>
              <w:rPr>
                <w:rFonts w:ascii="Arial" w:hAnsi="Arial"/>
                <w:b w:val="0"/>
                <w:i w:val="0"/>
                <w:color w:val="111111"/>
                <w:sz w:val="18"/>
              </w:rPr>
              <w:t>Network controls, secret mounts, and observability wrappers.</w:t>
            </w:r>
          </w:p>
        </w:tc>
        <w:tc>
          <w:tcPr>
            <w:tcW w:type="dxa" w:w="5544"/>
            <w:vAlign w:val="top"/>
          </w:tcPr>
          <w:p>
            <w:pPr>
              <w:spacing w:after="0" w:before="0"/>
              <w:jc w:val="left"/>
            </w:pPr>
            <w:r>
              <w:rPr>
                <w:rFonts w:ascii="Arial" w:hAnsi="Arial"/>
                <w:b w:val="0"/>
                <w:i w:val="0"/>
                <w:color w:val="111111"/>
                <w:sz w:val="18"/>
              </w:rPr>
              <w:t>Private registry access, environment-specific networking, secret-handling standards, and central monitoring requirements.</w:t>
            </w:r>
          </w:p>
        </w:tc>
      </w:tr>
      <w:tr>
        <w:tc>
          <w:tcPr>
            <w:tcW w:type="dxa" w:w="2088"/>
            <w:vAlign w:val="top"/>
            <w:shd w:val="clear" w:color="auto" w:fill="F8FBFE"/>
          </w:tcPr>
          <w:p>
            <w:pPr>
              <w:spacing w:after="0" w:before="0"/>
              <w:jc w:val="left"/>
            </w:pPr>
            <w:r>
              <w:rPr>
                <w:rFonts w:ascii="Arial" w:hAnsi="Arial"/>
                <w:b/>
                <w:i w:val="0"/>
                <w:color w:val="111111"/>
                <w:sz w:val="18"/>
              </w:rPr>
              <w:t>Availability Set SQL</w:t>
            </w:r>
          </w:p>
        </w:tc>
        <w:tc>
          <w:tcPr>
            <w:tcW w:type="dxa" w:w="3528"/>
            <w:vAlign w:val="top"/>
            <w:shd w:val="clear" w:color="auto" w:fill="F8FBFE"/>
          </w:tcPr>
          <w:p>
            <w:pPr>
              <w:spacing w:after="0" w:before="0"/>
              <w:jc w:val="left"/>
            </w:pPr>
            <w:r>
              <w:rPr>
                <w:rFonts w:ascii="Arial" w:hAnsi="Arial"/>
                <w:b w:val="0"/>
                <w:i w:val="0"/>
                <w:color w:val="111111"/>
                <w:sz w:val="18"/>
              </w:rPr>
              <w:t>This is more of a workload solution than a reusable base module because it crosses compute, storage, domain join, and SQL guest-configuration boundaries. Treating it as composition lowers blast radius and reuse friction.</w:t>
            </w:r>
          </w:p>
        </w:tc>
        <w:tc>
          <w:tcPr>
            <w:tcW w:type="dxa" w:w="3240"/>
            <w:vAlign w:val="top"/>
            <w:shd w:val="clear" w:color="auto" w:fill="F8FBFE"/>
          </w:tcPr>
          <w:p>
            <w:pPr>
              <w:spacing w:after="0" w:before="0"/>
              <w:jc w:val="left"/>
            </w:pPr>
            <w:r>
              <w:rPr>
                <w:rFonts w:ascii="Arial" w:hAnsi="Arial"/>
                <w:b w:val="0"/>
                <w:i w:val="0"/>
                <w:color w:val="111111"/>
                <w:sz w:val="18"/>
              </w:rPr>
              <w:t>SQL guest configuration, AD join, disk layout, backup, and monitoring.</w:t>
            </w:r>
          </w:p>
        </w:tc>
        <w:tc>
          <w:tcPr>
            <w:tcW w:type="dxa" w:w="5544"/>
            <w:vAlign w:val="top"/>
            <w:shd w:val="clear" w:color="auto" w:fill="F8FBFE"/>
          </w:tcPr>
          <w:p>
            <w:pPr>
              <w:spacing w:after="0" w:before="0"/>
              <w:jc w:val="left"/>
            </w:pPr>
            <w:r>
              <w:rPr>
                <w:rFonts w:ascii="Arial" w:hAnsi="Arial"/>
                <w:b w:val="0"/>
                <w:i w:val="0"/>
                <w:color w:val="111111"/>
                <w:sz w:val="18"/>
              </w:rPr>
              <w:t>SQL workload standards, shared VM baselines, different operations teams, and environment-specific clustering or data layout requirements.</w:t>
            </w:r>
          </w:p>
        </w:tc>
      </w:tr>
    </w:tbl>
    <w:p/>
    <w:p>
      <w:pPr>
        <w:pStyle w:val="Heading2"/>
        <w:spacing w:before="120" w:after="60"/>
      </w:pPr>
      <w:r>
        <w:rPr>
          <w:rFonts w:ascii="Arial" w:hAnsi="Arial"/>
          <w:b w:val="0"/>
          <w:i w:val="0"/>
          <w:color w:val="111111"/>
          <w:sz w:val="21"/>
        </w:rPr>
        <w:t>Data, Security, and Analytics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088"/>
            <w:vAlign w:val="top"/>
            <w:shd w:val="clear" w:color="auto" w:fill="DDEBF7"/>
          </w:tcPr>
          <w:p>
            <w:pPr>
              <w:spacing w:after="0" w:before="0"/>
              <w:jc w:val="left"/>
            </w:pPr>
            <w:r>
              <w:rPr>
                <w:rFonts w:ascii="Arial" w:hAnsi="Arial"/>
                <w:b/>
                <w:i w:val="0"/>
                <w:color w:val="111111"/>
                <w:sz w:val="18"/>
              </w:rPr>
              <w:t>Module</w:t>
            </w:r>
          </w:p>
        </w:tc>
        <w:tc>
          <w:tcPr>
            <w:tcW w:type="dxa" w:w="3528"/>
            <w:vAlign w:val="top"/>
            <w:shd w:val="clear" w:color="auto" w:fill="DDEBF7"/>
          </w:tcPr>
          <w:p>
            <w:pPr>
              <w:spacing w:after="0" w:before="0"/>
              <w:jc w:val="left"/>
            </w:pPr>
            <w:r>
              <w:rPr>
                <w:rFonts w:ascii="Arial" w:hAnsi="Arial"/>
                <w:b/>
                <w:i w:val="0"/>
                <w:color w:val="111111"/>
                <w:sz w:val="18"/>
              </w:rPr>
              <w:t>Why The Split Or Refactor Matters</w:t>
            </w:r>
          </w:p>
        </w:tc>
        <w:tc>
          <w:tcPr>
            <w:tcW w:type="dxa" w:w="3240"/>
            <w:vAlign w:val="top"/>
            <w:shd w:val="clear" w:color="auto" w:fill="DDEBF7"/>
          </w:tcPr>
          <w:p>
            <w:pPr>
              <w:spacing w:after="0" w:before="0"/>
              <w:jc w:val="left"/>
            </w:pPr>
            <w:r>
              <w:rPr>
                <w:rFonts w:ascii="Arial" w:hAnsi="Arial"/>
                <w:b/>
                <w:i w:val="0"/>
                <w:color w:val="111111"/>
                <w:sz w:val="18"/>
              </w:rPr>
              <w:t>What Should Not Stay Coupled To The Base Module</w:t>
            </w:r>
          </w:p>
        </w:tc>
        <w:tc>
          <w:tcPr>
            <w:tcW w:type="dxa" w:w="5544"/>
            <w:vAlign w:val="top"/>
            <w:shd w:val="clear" w:color="auto" w:fill="DDEBF7"/>
          </w:tcPr>
          <w:p>
            <w:pPr>
              <w:spacing w:after="0" w:before="0"/>
              <w:jc w:val="left"/>
            </w:pPr>
            <w:r>
              <w:rPr>
                <w:rFonts w:ascii="Arial" w:hAnsi="Arial"/>
                <w:b/>
                <w:i w:val="0"/>
                <w:color w:val="111111"/>
                <w:sz w:val="18"/>
              </w:rPr>
              <w:t>What Usually Requires The Separation</w:t>
            </w:r>
          </w:p>
        </w:tc>
      </w:tr>
      <w:tr>
        <w:tc>
          <w:tcPr>
            <w:tcW w:type="dxa" w:w="2088"/>
            <w:vAlign w:val="top"/>
            <w:shd w:val="clear" w:color="auto" w:fill="F8FBFE"/>
          </w:tcPr>
          <w:p>
            <w:pPr>
              <w:spacing w:after="0" w:before="0"/>
              <w:jc w:val="left"/>
            </w:pPr>
            <w:r>
              <w:rPr>
                <w:rFonts w:ascii="Arial" w:hAnsi="Arial"/>
                <w:b/>
                <w:i w:val="0"/>
                <w:color w:val="111111"/>
                <w:sz w:val="18"/>
              </w:rPr>
              <w:t>Key Vault</w:t>
            </w:r>
          </w:p>
        </w:tc>
        <w:tc>
          <w:tcPr>
            <w:tcW w:type="dxa" w:w="3528"/>
            <w:vAlign w:val="top"/>
            <w:shd w:val="clear" w:color="auto" w:fill="F8FBFE"/>
          </w:tcPr>
          <w:p>
            <w:pPr>
              <w:spacing w:after="0" w:before="0"/>
              <w:jc w:val="left"/>
            </w:pPr>
            <w:r>
              <w:rPr>
                <w:rFonts w:ascii="Arial" w:hAnsi="Arial"/>
                <w:b w:val="0"/>
                <w:i w:val="0"/>
                <w:color w:val="111111"/>
                <w:sz w:val="18"/>
              </w:rPr>
              <w:t>The vault lifecycle is stable compared with access changes, secret rotation, certificates, private connectivity, and diagnostics. Keeping all of that in one module creates one of the most common enterprise drift patterns.</w:t>
            </w:r>
          </w:p>
        </w:tc>
        <w:tc>
          <w:tcPr>
            <w:tcW w:type="dxa" w:w="3240"/>
            <w:vAlign w:val="top"/>
            <w:shd w:val="clear" w:color="auto" w:fill="F8FBFE"/>
          </w:tcPr>
          <w:p>
            <w:pPr>
              <w:spacing w:after="0" w:before="0"/>
              <w:jc w:val="left"/>
            </w:pPr>
            <w:r>
              <w:rPr>
                <w:rFonts w:ascii="Arial" w:hAnsi="Arial"/>
                <w:b w:val="0"/>
                <w:i w:val="0"/>
                <w:color w:val="111111"/>
                <w:sz w:val="18"/>
              </w:rPr>
              <w:t>RBAC, access policies, private endpoints, diagnostics, alerts, secrets, keys, certificates, backup, and rotation policy.</w:t>
            </w:r>
          </w:p>
        </w:tc>
        <w:tc>
          <w:tcPr>
            <w:tcW w:type="dxa" w:w="5544"/>
            <w:vAlign w:val="top"/>
            <w:shd w:val="clear" w:color="auto" w:fill="F8FBFE"/>
          </w:tcPr>
          <w:p>
            <w:pPr>
              <w:spacing w:after="0" w:before="0"/>
              <w:jc w:val="left"/>
            </w:pPr>
            <w:r>
              <w:rPr>
                <w:rFonts w:ascii="Arial" w:hAnsi="Arial"/>
                <w:b w:val="0"/>
                <w:i w:val="0"/>
                <w:color w:val="111111"/>
                <w:sz w:val="18"/>
              </w:rPr>
              <w:t>RBAC-first governance, private-only access, audit logging, certificate renewals, app onboarding, and separation of duties between platform, security, and application teams.</w:t>
            </w:r>
          </w:p>
        </w:tc>
      </w:tr>
      <w:tr>
        <w:tc>
          <w:tcPr>
            <w:tcW w:type="dxa" w:w="2088"/>
            <w:vAlign w:val="top"/>
          </w:tcPr>
          <w:p>
            <w:pPr>
              <w:spacing w:after="0" w:before="0"/>
              <w:jc w:val="left"/>
            </w:pPr>
            <w:r>
              <w:rPr>
                <w:rFonts w:ascii="Arial" w:hAnsi="Arial"/>
                <w:b/>
                <w:i w:val="0"/>
                <w:color w:val="111111"/>
                <w:sz w:val="18"/>
              </w:rPr>
              <w:t>Key Vault Managed HSM</w:t>
            </w:r>
          </w:p>
        </w:tc>
        <w:tc>
          <w:tcPr>
            <w:tcW w:type="dxa" w:w="3528"/>
            <w:vAlign w:val="top"/>
          </w:tcPr>
          <w:p>
            <w:pPr>
              <w:spacing w:after="0" w:before="0"/>
              <w:jc w:val="left"/>
            </w:pPr>
            <w:r>
              <w:rPr>
                <w:rFonts w:ascii="Arial" w:hAnsi="Arial"/>
                <w:b w:val="0"/>
                <w:i w:val="0"/>
                <w:color w:val="111111"/>
                <w:sz w:val="18"/>
              </w:rPr>
              <w:t>Managed HSM is a high-control platform service. Its access model, private access, and key lifecycle usually have tighter governance than the base HSM resource itself.</w:t>
            </w:r>
          </w:p>
        </w:tc>
        <w:tc>
          <w:tcPr>
            <w:tcW w:type="dxa" w:w="3240"/>
            <w:vAlign w:val="top"/>
          </w:tcPr>
          <w:p>
            <w:pPr>
              <w:spacing w:after="0" w:before="0"/>
              <w:jc w:val="left"/>
            </w:pPr>
            <w:r>
              <w:rPr>
                <w:rFonts w:ascii="Arial" w:hAnsi="Arial"/>
                <w:b w:val="0"/>
                <w:i w:val="0"/>
                <w:color w:val="111111"/>
                <w:sz w:val="18"/>
              </w:rPr>
              <w:t>RBAC, private endpoints, diagnostics, and managed keys.</w:t>
            </w:r>
          </w:p>
        </w:tc>
        <w:tc>
          <w:tcPr>
            <w:tcW w:type="dxa" w:w="5544"/>
            <w:vAlign w:val="top"/>
          </w:tcPr>
          <w:p>
            <w:pPr>
              <w:spacing w:after="0" w:before="0"/>
              <w:jc w:val="left"/>
            </w:pPr>
            <w:r>
              <w:rPr>
                <w:rFonts w:ascii="Arial" w:hAnsi="Arial"/>
                <w:b w:val="0"/>
                <w:i w:val="0"/>
                <w:color w:val="111111"/>
                <w:sz w:val="18"/>
              </w:rPr>
              <w:t>Highly regulated workloads, HSM key ownership, private network mandates, and centralized security administration.</w:t>
            </w:r>
          </w:p>
        </w:tc>
      </w:tr>
      <w:tr>
        <w:tc>
          <w:tcPr>
            <w:tcW w:type="dxa" w:w="2088"/>
            <w:vAlign w:val="top"/>
            <w:shd w:val="clear" w:color="auto" w:fill="F8FBFE"/>
          </w:tcPr>
          <w:p>
            <w:pPr>
              <w:spacing w:after="0" w:before="0"/>
              <w:jc w:val="left"/>
            </w:pPr>
            <w:r>
              <w:rPr>
                <w:rFonts w:ascii="Arial" w:hAnsi="Arial"/>
                <w:b/>
                <w:i w:val="0"/>
                <w:color w:val="111111"/>
                <w:sz w:val="18"/>
              </w:rPr>
              <w:t>Storage Account</w:t>
            </w:r>
          </w:p>
        </w:tc>
        <w:tc>
          <w:tcPr>
            <w:tcW w:type="dxa" w:w="3528"/>
            <w:vAlign w:val="top"/>
            <w:shd w:val="clear" w:color="auto" w:fill="F8FBFE"/>
          </w:tcPr>
          <w:p>
            <w:pPr>
              <w:spacing w:after="0" w:before="0"/>
              <w:jc w:val="left"/>
            </w:pPr>
            <w:r>
              <w:rPr>
                <w:rFonts w:ascii="Arial" w:hAnsi="Arial"/>
                <w:b w:val="0"/>
                <w:i w:val="0"/>
                <w:color w:val="111111"/>
                <w:sz w:val="18"/>
              </w:rPr>
              <w:t>Storage accounts are classic examples of control-plane and data-plane lifecycle separation. If containers, blobs, queues, tables, and shares stay in the same module, application teams are forced into the platform resource lifecycle.</w:t>
            </w:r>
          </w:p>
        </w:tc>
        <w:tc>
          <w:tcPr>
            <w:tcW w:type="dxa" w:w="3240"/>
            <w:vAlign w:val="top"/>
            <w:shd w:val="clear" w:color="auto" w:fill="F8FBFE"/>
          </w:tcPr>
          <w:p>
            <w:pPr>
              <w:spacing w:after="0" w:before="0"/>
              <w:jc w:val="left"/>
            </w:pPr>
            <w:r>
              <w:rPr>
                <w:rFonts w:ascii="Arial" w:hAnsi="Arial"/>
                <w:b w:val="0"/>
                <w:i w:val="0"/>
                <w:color w:val="111111"/>
                <w:sz w:val="18"/>
              </w:rPr>
              <w:t>Containers, blobs, queues, tables, shares, private endpoints, diagnostics, CMK, immutability, lifecycle rules, and RBAC.</w:t>
            </w:r>
          </w:p>
        </w:tc>
        <w:tc>
          <w:tcPr>
            <w:tcW w:type="dxa" w:w="5544"/>
            <w:vAlign w:val="top"/>
            <w:shd w:val="clear" w:color="auto" w:fill="F8FBFE"/>
          </w:tcPr>
          <w:p>
            <w:pPr>
              <w:spacing w:after="0" w:before="0"/>
              <w:jc w:val="left"/>
            </w:pPr>
            <w:r>
              <w:rPr>
                <w:rFonts w:ascii="Arial" w:hAnsi="Arial"/>
                <w:b w:val="0"/>
                <w:i w:val="0"/>
                <w:color w:val="111111"/>
                <w:sz w:val="18"/>
              </w:rPr>
              <w:t>Shared storage accounts, app-owned containers, retention changes, compliance controls, private access rollout, and per-workload data segmentation.</w:t>
            </w:r>
          </w:p>
        </w:tc>
      </w:tr>
      <w:tr>
        <w:tc>
          <w:tcPr>
            <w:tcW w:type="dxa" w:w="2088"/>
            <w:vAlign w:val="top"/>
          </w:tcPr>
          <w:p>
            <w:pPr>
              <w:spacing w:after="0" w:before="0"/>
              <w:jc w:val="left"/>
            </w:pPr>
            <w:r>
              <w:rPr>
                <w:rFonts w:ascii="Arial" w:hAnsi="Arial"/>
                <w:b/>
                <w:i w:val="0"/>
                <w:color w:val="111111"/>
                <w:sz w:val="18"/>
              </w:rPr>
              <w:t>MSSQL Database</w:t>
            </w:r>
          </w:p>
        </w:tc>
        <w:tc>
          <w:tcPr>
            <w:tcW w:type="dxa" w:w="3528"/>
            <w:vAlign w:val="top"/>
          </w:tcPr>
          <w:p>
            <w:pPr>
              <w:spacing w:after="0" w:before="0"/>
              <w:jc w:val="left"/>
            </w:pPr>
            <w:r>
              <w:rPr>
                <w:rFonts w:ascii="Arial" w:hAnsi="Arial"/>
                <w:b w:val="0"/>
                <w:i w:val="0"/>
                <w:color w:val="111111"/>
                <w:sz w:val="18"/>
              </w:rPr>
              <w:t>SQL server creation, database creation, auditing, threat detection, and private networking often change independently. Keeping them together works only when one owner controls the whole database platform.</w:t>
            </w:r>
          </w:p>
        </w:tc>
        <w:tc>
          <w:tcPr>
            <w:tcW w:type="dxa" w:w="3240"/>
            <w:vAlign w:val="top"/>
          </w:tcPr>
          <w:p>
            <w:pPr>
              <w:spacing w:after="0" w:before="0"/>
              <w:jc w:val="left"/>
            </w:pPr>
            <w:r>
              <w:rPr>
                <w:rFonts w:ascii="Arial" w:hAnsi="Arial"/>
                <w:b w:val="0"/>
                <w:i w:val="0"/>
                <w:color w:val="111111"/>
                <w:sz w:val="18"/>
              </w:rPr>
              <w:t>Databases, auditing policies, threat detection, private endpoints, failover, and access management.</w:t>
            </w:r>
          </w:p>
        </w:tc>
        <w:tc>
          <w:tcPr>
            <w:tcW w:type="dxa" w:w="5544"/>
            <w:vAlign w:val="top"/>
          </w:tcPr>
          <w:p>
            <w:pPr>
              <w:spacing w:after="0" w:before="0"/>
              <w:jc w:val="left"/>
            </w:pPr>
            <w:r>
              <w:rPr>
                <w:rFonts w:ascii="Arial" w:hAnsi="Arial"/>
                <w:b w:val="0"/>
                <w:i w:val="0"/>
                <w:color w:val="111111"/>
                <w:sz w:val="18"/>
              </w:rPr>
              <w:t>Shared SQL platforms, onboarding new apps, compliance tuning, private connectivity, and failover expansion.</w:t>
            </w:r>
          </w:p>
        </w:tc>
      </w:tr>
      <w:tr>
        <w:tc>
          <w:tcPr>
            <w:tcW w:type="dxa" w:w="2088"/>
            <w:vAlign w:val="top"/>
            <w:shd w:val="clear" w:color="auto" w:fill="F8FBFE"/>
          </w:tcPr>
          <w:p>
            <w:pPr>
              <w:spacing w:after="0" w:before="0"/>
              <w:jc w:val="left"/>
            </w:pPr>
            <w:r>
              <w:rPr>
                <w:rFonts w:ascii="Arial" w:hAnsi="Arial"/>
                <w:b/>
                <w:i w:val="0"/>
                <w:color w:val="111111"/>
                <w:sz w:val="18"/>
              </w:rPr>
              <w:t>Synapse</w:t>
            </w:r>
          </w:p>
        </w:tc>
        <w:tc>
          <w:tcPr>
            <w:tcW w:type="dxa" w:w="3528"/>
            <w:vAlign w:val="top"/>
            <w:shd w:val="clear" w:color="auto" w:fill="F8FBFE"/>
          </w:tcPr>
          <w:p>
            <w:pPr>
              <w:spacing w:after="0" w:before="0"/>
              <w:jc w:val="left"/>
            </w:pPr>
            <w:r>
              <w:rPr>
                <w:rFonts w:ascii="Arial" w:hAnsi="Arial"/>
                <w:b w:val="0"/>
                <w:i w:val="0"/>
                <w:color w:val="111111"/>
                <w:sz w:val="18"/>
              </w:rPr>
              <w:t>Workspace bootstrap, storage dependencies, networking controls, pools, and access management do not always come at the same time. Separation keeps the workspace module usable whether storage and networking are platform-owned or not.</w:t>
            </w:r>
          </w:p>
        </w:tc>
        <w:tc>
          <w:tcPr>
            <w:tcW w:type="dxa" w:w="3240"/>
            <w:vAlign w:val="top"/>
            <w:shd w:val="clear" w:color="auto" w:fill="F8FBFE"/>
          </w:tcPr>
          <w:p>
            <w:pPr>
              <w:spacing w:after="0" w:before="0"/>
              <w:jc w:val="left"/>
            </w:pPr>
            <w:r>
              <w:rPr>
                <w:rFonts w:ascii="Arial" w:hAnsi="Arial"/>
                <w:b w:val="0"/>
                <w:i w:val="0"/>
                <w:color w:val="111111"/>
                <w:sz w:val="18"/>
              </w:rPr>
              <w:t>Filesystem creation, pools, diagnostics, private access, CMK, and access controls.</w:t>
            </w:r>
          </w:p>
        </w:tc>
        <w:tc>
          <w:tcPr>
            <w:tcW w:type="dxa" w:w="5544"/>
            <w:vAlign w:val="top"/>
            <w:shd w:val="clear" w:color="auto" w:fill="F8FBFE"/>
          </w:tcPr>
          <w:p>
            <w:pPr>
              <w:spacing w:after="0" w:before="0"/>
              <w:jc w:val="left"/>
            </w:pPr>
            <w:r>
              <w:rPr>
                <w:rFonts w:ascii="Arial" w:hAnsi="Arial"/>
                <w:b w:val="0"/>
                <w:i w:val="0"/>
                <w:color w:val="111111"/>
                <w:sz w:val="18"/>
              </w:rPr>
              <w:t>Platform-managed data lake, staged analytics rollout, managed VNet adoption, private-only design, and workload-specific pool scaling.</w:t>
            </w:r>
          </w:p>
        </w:tc>
      </w:tr>
    </w:tbl>
    <w:p/>
    <w:p>
      <w:pPr>
        <w:pStyle w:val="Heading2"/>
        <w:spacing w:before="120" w:after="60"/>
      </w:pPr>
      <w:r>
        <w:rPr>
          <w:rFonts w:ascii="Arial" w:hAnsi="Arial"/>
          <w:b w:val="0"/>
          <w:i w:val="0"/>
          <w:color w:val="111111"/>
          <w:sz w:val="21"/>
        </w:rPr>
        <w:t>Networking and Edge</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088"/>
            <w:vAlign w:val="top"/>
            <w:shd w:val="clear" w:color="auto" w:fill="DDEBF7"/>
          </w:tcPr>
          <w:p>
            <w:pPr>
              <w:spacing w:after="0" w:before="0"/>
              <w:jc w:val="left"/>
            </w:pPr>
            <w:r>
              <w:rPr>
                <w:rFonts w:ascii="Arial" w:hAnsi="Arial"/>
                <w:b/>
                <w:i w:val="0"/>
                <w:color w:val="111111"/>
                <w:sz w:val="18"/>
              </w:rPr>
              <w:t>Module</w:t>
            </w:r>
          </w:p>
        </w:tc>
        <w:tc>
          <w:tcPr>
            <w:tcW w:type="dxa" w:w="3528"/>
            <w:vAlign w:val="top"/>
            <w:shd w:val="clear" w:color="auto" w:fill="DDEBF7"/>
          </w:tcPr>
          <w:p>
            <w:pPr>
              <w:spacing w:after="0" w:before="0"/>
              <w:jc w:val="left"/>
            </w:pPr>
            <w:r>
              <w:rPr>
                <w:rFonts w:ascii="Arial" w:hAnsi="Arial"/>
                <w:b/>
                <w:i w:val="0"/>
                <w:color w:val="111111"/>
                <w:sz w:val="18"/>
              </w:rPr>
              <w:t>Why The Split Or Refactor Matters</w:t>
            </w:r>
          </w:p>
        </w:tc>
        <w:tc>
          <w:tcPr>
            <w:tcW w:type="dxa" w:w="3240"/>
            <w:vAlign w:val="top"/>
            <w:shd w:val="clear" w:color="auto" w:fill="DDEBF7"/>
          </w:tcPr>
          <w:p>
            <w:pPr>
              <w:spacing w:after="0" w:before="0"/>
              <w:jc w:val="left"/>
            </w:pPr>
            <w:r>
              <w:rPr>
                <w:rFonts w:ascii="Arial" w:hAnsi="Arial"/>
                <w:b/>
                <w:i w:val="0"/>
                <w:color w:val="111111"/>
                <w:sz w:val="18"/>
              </w:rPr>
              <w:t>What Should Not Stay Coupled To The Base Module</w:t>
            </w:r>
          </w:p>
        </w:tc>
        <w:tc>
          <w:tcPr>
            <w:tcW w:type="dxa" w:w="5544"/>
            <w:vAlign w:val="top"/>
            <w:shd w:val="clear" w:color="auto" w:fill="DDEBF7"/>
          </w:tcPr>
          <w:p>
            <w:pPr>
              <w:spacing w:after="0" w:before="0"/>
              <w:jc w:val="left"/>
            </w:pPr>
            <w:r>
              <w:rPr>
                <w:rFonts w:ascii="Arial" w:hAnsi="Arial"/>
                <w:b/>
                <w:i w:val="0"/>
                <w:color w:val="111111"/>
                <w:sz w:val="18"/>
              </w:rPr>
              <w:t>What Usually Requires The Separation</w:t>
            </w:r>
          </w:p>
        </w:tc>
      </w:tr>
      <w:tr>
        <w:tc>
          <w:tcPr>
            <w:tcW w:type="dxa" w:w="2088"/>
            <w:vAlign w:val="top"/>
            <w:shd w:val="clear" w:color="auto" w:fill="F8FBFE"/>
          </w:tcPr>
          <w:p>
            <w:pPr>
              <w:spacing w:after="0" w:before="0"/>
              <w:jc w:val="left"/>
            </w:pPr>
            <w:r>
              <w:rPr>
                <w:rFonts w:ascii="Arial" w:hAnsi="Arial"/>
                <w:b/>
                <w:i w:val="0"/>
                <w:color w:val="111111"/>
                <w:sz w:val="18"/>
              </w:rPr>
              <w:t>Application Gateway</w:t>
            </w:r>
          </w:p>
        </w:tc>
        <w:tc>
          <w:tcPr>
            <w:tcW w:type="dxa" w:w="3528"/>
            <w:vAlign w:val="top"/>
            <w:shd w:val="clear" w:color="auto" w:fill="F8FBFE"/>
          </w:tcPr>
          <w:p>
            <w:pPr>
              <w:spacing w:after="0" w:before="0"/>
              <w:jc w:val="left"/>
            </w:pPr>
            <w:r>
              <w:rPr>
                <w:rFonts w:ascii="Arial" w:hAnsi="Arial"/>
                <w:b w:val="0"/>
                <w:i w:val="0"/>
                <w:color w:val="111111"/>
                <w:sz w:val="18"/>
              </w:rPr>
              <w:t>The gateway itself must own its routing model, but security policy, diagnostics, public IP strategy, and certificate sourcing often have different owners and approval paths. Splitting those concerns makes the gateway reusable without forcing one giant interface.</w:t>
            </w:r>
          </w:p>
        </w:tc>
        <w:tc>
          <w:tcPr>
            <w:tcW w:type="dxa" w:w="3240"/>
            <w:vAlign w:val="top"/>
            <w:shd w:val="clear" w:color="auto" w:fill="F8FBFE"/>
          </w:tcPr>
          <w:p>
            <w:pPr>
              <w:spacing w:after="0" w:before="0"/>
              <w:jc w:val="left"/>
            </w:pPr>
            <w:r>
              <w:rPr>
                <w:rFonts w:ascii="Arial" w:hAnsi="Arial"/>
                <w:b w:val="0"/>
                <w:i w:val="0"/>
                <w:color w:val="111111"/>
                <w:sz w:val="18"/>
              </w:rPr>
              <w:t>WAF policy ownership, diagnostics, public IP lifecycle, and certificate sourcing patterns.</w:t>
            </w:r>
          </w:p>
        </w:tc>
        <w:tc>
          <w:tcPr>
            <w:tcW w:type="dxa" w:w="5544"/>
            <w:vAlign w:val="top"/>
            <w:shd w:val="clear" w:color="auto" w:fill="F8FBFE"/>
          </w:tcPr>
          <w:p>
            <w:pPr>
              <w:spacing w:after="0" w:before="0"/>
              <w:jc w:val="left"/>
            </w:pPr>
            <w:r>
              <w:rPr>
                <w:rFonts w:ascii="Arial" w:hAnsi="Arial"/>
                <w:b w:val="0"/>
                <w:i w:val="0"/>
                <w:color w:val="111111"/>
                <w:sz w:val="18"/>
              </w:rPr>
              <w:t>Security-owned WAF rules, Key Vault certificate rotation, pre-approved public IPs, and multiple app teams sharing a common edge pattern.</w:t>
            </w:r>
          </w:p>
        </w:tc>
      </w:tr>
      <w:tr>
        <w:tc>
          <w:tcPr>
            <w:tcW w:type="dxa" w:w="2088"/>
            <w:vAlign w:val="top"/>
          </w:tcPr>
          <w:p>
            <w:pPr>
              <w:spacing w:after="0" w:before="0"/>
              <w:jc w:val="left"/>
            </w:pPr>
            <w:r>
              <w:rPr>
                <w:rFonts w:ascii="Arial" w:hAnsi="Arial"/>
                <w:b/>
                <w:i w:val="0"/>
                <w:color w:val="111111"/>
                <w:sz w:val="18"/>
              </w:rPr>
              <w:t>Load Balancer</w:t>
            </w:r>
          </w:p>
        </w:tc>
        <w:tc>
          <w:tcPr>
            <w:tcW w:type="dxa" w:w="3528"/>
            <w:vAlign w:val="top"/>
          </w:tcPr>
          <w:p>
            <w:pPr>
              <w:spacing w:after="0" w:before="0"/>
              <w:jc w:val="left"/>
            </w:pPr>
            <w:r>
              <w:rPr>
                <w:rFonts w:ascii="Arial" w:hAnsi="Arial"/>
                <w:b w:val="0"/>
                <w:i w:val="0"/>
                <w:color w:val="111111"/>
                <w:sz w:val="18"/>
              </w:rPr>
              <w:t>The core load balancer is stable, but frontend IP creation, outbound rules, and backend or attachment behavior may differ by environment. Separation keeps the base module smaller and more predictable.</w:t>
            </w:r>
          </w:p>
        </w:tc>
        <w:tc>
          <w:tcPr>
            <w:tcW w:type="dxa" w:w="3240"/>
            <w:vAlign w:val="top"/>
          </w:tcPr>
          <w:p>
            <w:pPr>
              <w:spacing w:after="0" w:before="0"/>
              <w:jc w:val="left"/>
            </w:pPr>
            <w:r>
              <w:rPr>
                <w:rFonts w:ascii="Arial" w:hAnsi="Arial"/>
                <w:b w:val="0"/>
                <w:i w:val="0"/>
                <w:color w:val="111111"/>
                <w:sz w:val="18"/>
              </w:rPr>
              <w:t>Public IP lifecycle, outbound rules, diagnostics, and backend or attachment wrappers.</w:t>
            </w:r>
          </w:p>
        </w:tc>
        <w:tc>
          <w:tcPr>
            <w:tcW w:type="dxa" w:w="5544"/>
            <w:vAlign w:val="top"/>
          </w:tcPr>
          <w:p>
            <w:pPr>
              <w:spacing w:after="0" w:before="0"/>
              <w:jc w:val="left"/>
            </w:pPr>
            <w:r>
              <w:rPr>
                <w:rFonts w:ascii="Arial" w:hAnsi="Arial"/>
                <w:b w:val="0"/>
                <w:i w:val="0"/>
                <w:color w:val="111111"/>
                <w:sz w:val="18"/>
              </w:rPr>
              <w:t>Internal vs public patterns, reserved IP strategies, workload-specific routing, and operational monitoring requirements.</w:t>
            </w:r>
          </w:p>
        </w:tc>
      </w:tr>
      <w:tr>
        <w:tc>
          <w:tcPr>
            <w:tcW w:type="dxa" w:w="2088"/>
            <w:vAlign w:val="top"/>
            <w:shd w:val="clear" w:color="auto" w:fill="F8FBFE"/>
          </w:tcPr>
          <w:p>
            <w:pPr>
              <w:spacing w:after="0" w:before="0"/>
              <w:jc w:val="left"/>
            </w:pPr>
            <w:r>
              <w:rPr>
                <w:rFonts w:ascii="Arial" w:hAnsi="Arial"/>
                <w:b/>
                <w:i w:val="0"/>
                <w:color w:val="111111"/>
                <w:sz w:val="18"/>
              </w:rPr>
              <w:t>Networking (VNet)</w:t>
            </w:r>
          </w:p>
        </w:tc>
        <w:tc>
          <w:tcPr>
            <w:tcW w:type="dxa" w:w="3528"/>
            <w:vAlign w:val="top"/>
            <w:shd w:val="clear" w:color="auto" w:fill="F8FBFE"/>
          </w:tcPr>
          <w:p>
            <w:pPr>
              <w:spacing w:after="0" w:before="0"/>
              <w:jc w:val="left"/>
            </w:pPr>
            <w:r>
              <w:rPr>
                <w:rFonts w:ascii="Arial" w:hAnsi="Arial"/>
                <w:b w:val="0"/>
                <w:i w:val="0"/>
                <w:color w:val="111111"/>
                <w:sz w:val="18"/>
              </w:rPr>
              <w:t>VNet and subnets belong together, but platform-level concerns like DDoS, Network Watcher, and some associations usually do not share the same lifecycle or owner.</w:t>
            </w:r>
          </w:p>
        </w:tc>
        <w:tc>
          <w:tcPr>
            <w:tcW w:type="dxa" w:w="3240"/>
            <w:vAlign w:val="top"/>
            <w:shd w:val="clear" w:color="auto" w:fill="F8FBFE"/>
          </w:tcPr>
          <w:p>
            <w:pPr>
              <w:spacing w:after="0" w:before="0"/>
              <w:jc w:val="left"/>
            </w:pPr>
            <w:r>
              <w:rPr>
                <w:rFonts w:ascii="Arial" w:hAnsi="Arial"/>
                <w:b w:val="0"/>
                <w:i w:val="0"/>
                <w:color w:val="111111"/>
                <w:sz w:val="18"/>
              </w:rPr>
              <w:t>DDoS plan, Network Watcher, route-table attachments, NAT attachments, and some DNS link behavior.</w:t>
            </w:r>
          </w:p>
        </w:tc>
        <w:tc>
          <w:tcPr>
            <w:tcW w:type="dxa" w:w="5544"/>
            <w:vAlign w:val="top"/>
            <w:shd w:val="clear" w:color="auto" w:fill="F8FBFE"/>
          </w:tcPr>
          <w:p>
            <w:pPr>
              <w:spacing w:after="0" w:before="0"/>
              <w:jc w:val="left"/>
            </w:pPr>
            <w:r>
              <w:rPr>
                <w:rFonts w:ascii="Arial" w:hAnsi="Arial"/>
                <w:b w:val="0"/>
                <w:i w:val="0"/>
                <w:color w:val="111111"/>
                <w:sz w:val="18"/>
              </w:rPr>
              <w:t>Central networking teams, landing-zone governance, phased rollout of controls, and shared network estates across many workloads.</w:t>
            </w:r>
          </w:p>
        </w:tc>
      </w:tr>
      <w:tr>
        <w:tc>
          <w:tcPr>
            <w:tcW w:type="dxa" w:w="2088"/>
            <w:vAlign w:val="top"/>
          </w:tcPr>
          <w:p>
            <w:pPr>
              <w:spacing w:after="0" w:before="0"/>
              <w:jc w:val="left"/>
            </w:pPr>
            <w:r>
              <w:rPr>
                <w:rFonts w:ascii="Arial" w:hAnsi="Arial"/>
                <w:b/>
                <w:i w:val="0"/>
                <w:color w:val="111111"/>
                <w:sz w:val="18"/>
              </w:rPr>
              <w:t>Private DNS</w:t>
            </w:r>
          </w:p>
        </w:tc>
        <w:tc>
          <w:tcPr>
            <w:tcW w:type="dxa" w:w="3528"/>
            <w:vAlign w:val="top"/>
          </w:tcPr>
          <w:p>
            <w:pPr>
              <w:spacing w:after="0" w:before="0"/>
              <w:jc w:val="left"/>
            </w:pPr>
            <w:r>
              <w:rPr>
                <w:rFonts w:ascii="Arial" w:hAnsi="Arial"/>
                <w:b w:val="0"/>
                <w:i w:val="0"/>
                <w:color w:val="111111"/>
                <w:sz w:val="18"/>
              </w:rPr>
              <w:t>DNS zone lifecycle is often stable, while VNet links and record management are operationally different and may be owned by different teams.</w:t>
            </w:r>
          </w:p>
        </w:tc>
        <w:tc>
          <w:tcPr>
            <w:tcW w:type="dxa" w:w="3240"/>
            <w:vAlign w:val="top"/>
          </w:tcPr>
          <w:p>
            <w:pPr>
              <w:spacing w:after="0" w:before="0"/>
              <w:jc w:val="left"/>
            </w:pPr>
            <w:r>
              <w:rPr>
                <w:rFonts w:ascii="Arial" w:hAnsi="Arial"/>
                <w:b w:val="0"/>
                <w:i w:val="0"/>
                <w:color w:val="111111"/>
                <w:sz w:val="18"/>
              </w:rPr>
              <w:t>VNet links, record sets, and resolver integrations.</w:t>
            </w:r>
          </w:p>
        </w:tc>
        <w:tc>
          <w:tcPr>
            <w:tcW w:type="dxa" w:w="5544"/>
            <w:vAlign w:val="top"/>
          </w:tcPr>
          <w:p>
            <w:pPr>
              <w:spacing w:after="0" w:before="0"/>
              <w:jc w:val="left"/>
            </w:pPr>
            <w:r>
              <w:rPr>
                <w:rFonts w:ascii="Arial" w:hAnsi="Arial"/>
                <w:b w:val="0"/>
                <w:i w:val="0"/>
                <w:color w:val="111111"/>
                <w:sz w:val="18"/>
              </w:rPr>
              <w:t>Central DNS ownership, shared zones, multi-subscription linking, and application-specific record needs.</w:t>
            </w:r>
          </w:p>
        </w:tc>
      </w:tr>
      <w:tr>
        <w:tc>
          <w:tcPr>
            <w:tcW w:type="dxa" w:w="2088"/>
            <w:vAlign w:val="top"/>
            <w:shd w:val="clear" w:color="auto" w:fill="F8FBFE"/>
          </w:tcPr>
          <w:p>
            <w:pPr>
              <w:spacing w:after="0" w:before="0"/>
              <w:jc w:val="left"/>
            </w:pPr>
            <w:r>
              <w:rPr>
                <w:rFonts w:ascii="Arial" w:hAnsi="Arial"/>
                <w:b/>
                <w:i w:val="0"/>
                <w:color w:val="111111"/>
                <w:sz w:val="18"/>
              </w:rPr>
              <w:t>Network Security Group</w:t>
            </w:r>
          </w:p>
        </w:tc>
        <w:tc>
          <w:tcPr>
            <w:tcW w:type="dxa" w:w="3528"/>
            <w:vAlign w:val="top"/>
            <w:shd w:val="clear" w:color="auto" w:fill="F8FBFE"/>
          </w:tcPr>
          <w:p>
            <w:pPr>
              <w:spacing w:after="0" w:before="0"/>
              <w:jc w:val="left"/>
            </w:pPr>
            <w:r>
              <w:rPr>
                <w:rFonts w:ascii="Arial" w:hAnsi="Arial"/>
                <w:b w:val="0"/>
                <w:i w:val="0"/>
                <w:color w:val="111111"/>
                <w:sz w:val="18"/>
              </w:rPr>
              <w:t>NSG rules can be reusable, but attaching an NSG to a subnet or NIC is often a separate decision with a different owner. Keeping association separate avoids ownership collisions.</w:t>
            </w:r>
          </w:p>
        </w:tc>
        <w:tc>
          <w:tcPr>
            <w:tcW w:type="dxa" w:w="3240"/>
            <w:vAlign w:val="top"/>
            <w:shd w:val="clear" w:color="auto" w:fill="F8FBFE"/>
          </w:tcPr>
          <w:p>
            <w:pPr>
              <w:spacing w:after="0" w:before="0"/>
              <w:jc w:val="left"/>
            </w:pPr>
            <w:r>
              <w:rPr>
                <w:rFonts w:ascii="Arial" w:hAnsi="Arial"/>
                <w:b w:val="0"/>
                <w:i w:val="0"/>
                <w:color w:val="111111"/>
                <w:sz w:val="18"/>
              </w:rPr>
              <w:t>Subnet associations and NIC associations.</w:t>
            </w:r>
          </w:p>
        </w:tc>
        <w:tc>
          <w:tcPr>
            <w:tcW w:type="dxa" w:w="5544"/>
            <w:vAlign w:val="top"/>
            <w:shd w:val="clear" w:color="auto" w:fill="F8FBFE"/>
          </w:tcPr>
          <w:p>
            <w:pPr>
              <w:spacing w:after="0" w:before="0"/>
              <w:jc w:val="left"/>
            </w:pPr>
            <w:r>
              <w:rPr>
                <w:rFonts w:ascii="Arial" w:hAnsi="Arial"/>
                <w:b w:val="0"/>
                <w:i w:val="0"/>
                <w:color w:val="111111"/>
                <w:sz w:val="18"/>
              </w:rPr>
              <w:t>Shared subnets, central networking governance, phased security rollout, and application-specific rule ownership.</w:t>
            </w:r>
          </w:p>
        </w:tc>
      </w:tr>
      <w:tr>
        <w:tc>
          <w:tcPr>
            <w:tcW w:type="dxa" w:w="2088"/>
            <w:vAlign w:val="top"/>
          </w:tcPr>
          <w:p>
            <w:pPr>
              <w:spacing w:after="0" w:before="0"/>
              <w:jc w:val="left"/>
            </w:pPr>
            <w:r>
              <w:rPr>
                <w:rFonts w:ascii="Arial" w:hAnsi="Arial"/>
                <w:b/>
                <w:i w:val="0"/>
                <w:color w:val="111111"/>
                <w:sz w:val="18"/>
              </w:rPr>
              <w:t>Network Interface</w:t>
            </w:r>
          </w:p>
        </w:tc>
        <w:tc>
          <w:tcPr>
            <w:tcW w:type="dxa" w:w="3528"/>
            <w:vAlign w:val="top"/>
          </w:tcPr>
          <w:p>
            <w:pPr>
              <w:spacing w:after="0" w:before="0"/>
              <w:jc w:val="left"/>
            </w:pPr>
            <w:r>
              <w:rPr>
                <w:rFonts w:ascii="Arial" w:hAnsi="Arial"/>
                <w:b w:val="0"/>
                <w:i w:val="0"/>
                <w:color w:val="111111"/>
                <w:sz w:val="18"/>
              </w:rPr>
              <w:t>The NIC is a base compute dependency, but NSG, ASG, public IP, and extra IP configuration decisions are operational add-ons that vary by workload.</w:t>
            </w:r>
          </w:p>
        </w:tc>
        <w:tc>
          <w:tcPr>
            <w:tcW w:type="dxa" w:w="3240"/>
            <w:vAlign w:val="top"/>
          </w:tcPr>
          <w:p>
            <w:pPr>
              <w:spacing w:after="0" w:before="0"/>
              <w:jc w:val="left"/>
            </w:pPr>
            <w:r>
              <w:rPr>
                <w:rFonts w:ascii="Arial" w:hAnsi="Arial"/>
                <w:b w:val="0"/>
                <w:i w:val="0"/>
                <w:color w:val="111111"/>
                <w:sz w:val="18"/>
              </w:rPr>
              <w:t>NSG associations, ASG associations, extra IP configurations, and public IP attachments.</w:t>
            </w:r>
          </w:p>
        </w:tc>
        <w:tc>
          <w:tcPr>
            <w:tcW w:type="dxa" w:w="5544"/>
            <w:vAlign w:val="top"/>
          </w:tcPr>
          <w:p>
            <w:pPr>
              <w:spacing w:after="0" w:before="0"/>
              <w:jc w:val="left"/>
            </w:pPr>
            <w:r>
              <w:rPr>
                <w:rFonts w:ascii="Arial" w:hAnsi="Arial"/>
                <w:b w:val="0"/>
                <w:i w:val="0"/>
                <w:color w:val="111111"/>
                <w:sz w:val="18"/>
              </w:rPr>
              <w:t>Different security zoning, multi-IP workload patterns, public vs private hosts, and delegated network policy control.</w:t>
            </w:r>
          </w:p>
        </w:tc>
      </w:tr>
      <w:tr>
        <w:tc>
          <w:tcPr>
            <w:tcW w:type="dxa" w:w="2088"/>
            <w:vAlign w:val="top"/>
            <w:shd w:val="clear" w:color="auto" w:fill="F8FBFE"/>
          </w:tcPr>
          <w:p>
            <w:pPr>
              <w:spacing w:after="0" w:before="0"/>
              <w:jc w:val="left"/>
            </w:pPr>
            <w:r>
              <w:rPr>
                <w:rFonts w:ascii="Arial" w:hAnsi="Arial"/>
                <w:b/>
                <w:i w:val="0"/>
                <w:color w:val="111111"/>
                <w:sz w:val="18"/>
              </w:rPr>
              <w:t>NAT Gateway</w:t>
            </w:r>
          </w:p>
        </w:tc>
        <w:tc>
          <w:tcPr>
            <w:tcW w:type="dxa" w:w="3528"/>
            <w:vAlign w:val="top"/>
            <w:shd w:val="clear" w:color="auto" w:fill="F8FBFE"/>
          </w:tcPr>
          <w:p>
            <w:pPr>
              <w:spacing w:after="0" w:before="0"/>
              <w:jc w:val="left"/>
            </w:pPr>
            <w:r>
              <w:rPr>
                <w:rFonts w:ascii="Arial" w:hAnsi="Arial"/>
                <w:b w:val="0"/>
                <w:i w:val="0"/>
                <w:color w:val="111111"/>
                <w:sz w:val="18"/>
              </w:rPr>
              <w:t>The NAT gateway resource is simpler than the public IP lifecycle and subnet attachment decisions around it. Splitting those concerns supports both centrally managed and app-owned network models.</w:t>
            </w:r>
          </w:p>
        </w:tc>
        <w:tc>
          <w:tcPr>
            <w:tcW w:type="dxa" w:w="3240"/>
            <w:vAlign w:val="top"/>
            <w:shd w:val="clear" w:color="auto" w:fill="F8FBFE"/>
          </w:tcPr>
          <w:p>
            <w:pPr>
              <w:spacing w:after="0" w:before="0"/>
              <w:jc w:val="left"/>
            </w:pPr>
            <w:r>
              <w:rPr>
                <w:rFonts w:ascii="Arial" w:hAnsi="Arial"/>
                <w:b w:val="0"/>
                <w:i w:val="0"/>
                <w:color w:val="111111"/>
                <w:sz w:val="18"/>
              </w:rPr>
              <w:t>Public IP creation, public IP attachment, subnet associations, and diagnostics.</w:t>
            </w:r>
          </w:p>
        </w:tc>
        <w:tc>
          <w:tcPr>
            <w:tcW w:type="dxa" w:w="5544"/>
            <w:vAlign w:val="top"/>
            <w:shd w:val="clear" w:color="auto" w:fill="F8FBFE"/>
          </w:tcPr>
          <w:p>
            <w:pPr>
              <w:spacing w:after="0" w:before="0"/>
              <w:jc w:val="left"/>
            </w:pPr>
            <w:r>
              <w:rPr>
                <w:rFonts w:ascii="Arial" w:hAnsi="Arial"/>
                <w:b w:val="0"/>
                <w:i w:val="0"/>
                <w:color w:val="111111"/>
                <w:sz w:val="18"/>
              </w:rPr>
              <w:t>Pre-existing public IPs, central subnet ownership, zone strategy changes, and phased outbound design adoption.</w:t>
            </w:r>
          </w:p>
        </w:tc>
      </w:tr>
      <w:tr>
        <w:tc>
          <w:tcPr>
            <w:tcW w:type="dxa" w:w="2088"/>
            <w:vAlign w:val="top"/>
          </w:tcPr>
          <w:p>
            <w:pPr>
              <w:spacing w:after="0" w:before="0"/>
              <w:jc w:val="left"/>
            </w:pPr>
            <w:r>
              <w:rPr>
                <w:rFonts w:ascii="Arial" w:hAnsi="Arial"/>
                <w:b/>
                <w:i w:val="0"/>
                <w:color w:val="111111"/>
                <w:sz w:val="18"/>
              </w:rPr>
              <w:t>Private Endpoint</w:t>
            </w:r>
          </w:p>
        </w:tc>
        <w:tc>
          <w:tcPr>
            <w:tcW w:type="dxa" w:w="3528"/>
            <w:vAlign w:val="top"/>
          </w:tcPr>
          <w:p>
            <w:pPr>
              <w:spacing w:after="0" w:before="0"/>
              <w:jc w:val="left"/>
            </w:pPr>
            <w:r>
              <w:rPr>
                <w:rFonts w:ascii="Arial" w:hAnsi="Arial"/>
                <w:b w:val="0"/>
                <w:i w:val="0"/>
                <w:color w:val="111111"/>
                <w:sz w:val="18"/>
              </w:rPr>
              <w:t>The private endpoint itself can be app-owned, but DNS zone group management and static IP behavior may be centrally managed or controlled by network standards.</w:t>
            </w:r>
          </w:p>
        </w:tc>
        <w:tc>
          <w:tcPr>
            <w:tcW w:type="dxa" w:w="3240"/>
            <w:vAlign w:val="top"/>
          </w:tcPr>
          <w:p>
            <w:pPr>
              <w:spacing w:after="0" w:before="0"/>
              <w:jc w:val="left"/>
            </w:pPr>
            <w:r>
              <w:rPr>
                <w:rFonts w:ascii="Arial" w:hAnsi="Arial"/>
                <w:b w:val="0"/>
                <w:i w:val="0"/>
                <w:color w:val="111111"/>
                <w:sz w:val="18"/>
              </w:rPr>
              <w:t>DNS zone group attachment and static IP specialization.</w:t>
            </w:r>
          </w:p>
        </w:tc>
        <w:tc>
          <w:tcPr>
            <w:tcW w:type="dxa" w:w="5544"/>
            <w:vAlign w:val="top"/>
          </w:tcPr>
          <w:p>
            <w:pPr>
              <w:spacing w:after="0" w:before="0"/>
              <w:jc w:val="left"/>
            </w:pPr>
            <w:r>
              <w:rPr>
                <w:rFonts w:ascii="Arial" w:hAnsi="Arial"/>
                <w:b w:val="0"/>
                <w:i w:val="0"/>
                <w:color w:val="111111"/>
                <w:sz w:val="18"/>
              </w:rPr>
              <w:t>Central private DNS ownership, landing-zone rules, app-specific DNS requirements, and strict subnet allocation practices.</w:t>
            </w:r>
          </w:p>
        </w:tc>
      </w:tr>
      <w:tr>
        <w:tc>
          <w:tcPr>
            <w:tcW w:type="dxa" w:w="2088"/>
            <w:vAlign w:val="top"/>
            <w:shd w:val="clear" w:color="auto" w:fill="F8FBFE"/>
          </w:tcPr>
          <w:p>
            <w:pPr>
              <w:spacing w:after="0" w:before="0"/>
              <w:jc w:val="left"/>
            </w:pPr>
            <w:r>
              <w:rPr>
                <w:rFonts w:ascii="Arial" w:hAnsi="Arial"/>
                <w:b/>
                <w:i w:val="0"/>
                <w:color w:val="111111"/>
                <w:sz w:val="18"/>
              </w:rPr>
              <w:t>VNet Peering</w:t>
            </w:r>
          </w:p>
        </w:tc>
        <w:tc>
          <w:tcPr>
            <w:tcW w:type="dxa" w:w="3528"/>
            <w:vAlign w:val="top"/>
            <w:shd w:val="clear" w:color="auto" w:fill="F8FBFE"/>
          </w:tcPr>
          <w:p>
            <w:pPr>
              <w:spacing w:after="0" w:before="0"/>
              <w:jc w:val="left"/>
            </w:pPr>
            <w:r>
              <w:rPr>
                <w:rFonts w:ascii="Arial" w:hAnsi="Arial"/>
                <w:b w:val="0"/>
                <w:i w:val="0"/>
                <w:color w:val="111111"/>
                <w:sz w:val="18"/>
              </w:rPr>
              <w:t>Peering is small and clear, but the two directions are often approved and managed deliberately rather than as one hidden behavior. Keeping it explicit reduces surprises.</w:t>
            </w:r>
          </w:p>
        </w:tc>
        <w:tc>
          <w:tcPr>
            <w:tcW w:type="dxa" w:w="3240"/>
            <w:vAlign w:val="top"/>
            <w:shd w:val="clear" w:color="auto" w:fill="F8FBFE"/>
          </w:tcPr>
          <w:p>
            <w:pPr>
              <w:spacing w:after="0" w:before="0"/>
              <w:jc w:val="left"/>
            </w:pPr>
            <w:r>
              <w:rPr>
                <w:rFonts w:ascii="Arial" w:hAnsi="Arial"/>
                <w:b w:val="0"/>
                <w:i w:val="0"/>
                <w:color w:val="111111"/>
                <w:sz w:val="18"/>
              </w:rPr>
              <w:t>Two-way peering orchestration and solution-level network compositions.</w:t>
            </w:r>
          </w:p>
        </w:tc>
        <w:tc>
          <w:tcPr>
            <w:tcW w:type="dxa" w:w="5544"/>
            <w:vAlign w:val="top"/>
            <w:shd w:val="clear" w:color="auto" w:fill="F8FBFE"/>
          </w:tcPr>
          <w:p>
            <w:pPr>
              <w:spacing w:after="0" w:before="0"/>
              <w:jc w:val="left"/>
            </w:pPr>
            <w:r>
              <w:rPr>
                <w:rFonts w:ascii="Arial" w:hAnsi="Arial"/>
                <w:b w:val="0"/>
                <w:i w:val="0"/>
                <w:color w:val="111111"/>
                <w:sz w:val="18"/>
              </w:rPr>
              <w:t>Cross-subscription peerings, hub-spoke design, central network approval, and directional routing policy choices.</w:t>
            </w:r>
          </w:p>
        </w:tc>
      </w:tr>
    </w:tbl>
    <w:p/>
    <w:p>
      <w:pPr>
        <w:pStyle w:val="Heading2"/>
        <w:spacing w:before="120" w:after="60"/>
      </w:pPr>
      <w:r>
        <w:rPr>
          <w:rFonts w:ascii="Arial" w:hAnsi="Arial"/>
          <w:b w:val="0"/>
          <w:i w:val="0"/>
          <w:color w:val="111111"/>
          <w:sz w:val="21"/>
        </w:rPr>
        <w:t>Integration and API Platform</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088"/>
            <w:vAlign w:val="top"/>
            <w:shd w:val="clear" w:color="auto" w:fill="DDEBF7"/>
          </w:tcPr>
          <w:p>
            <w:pPr>
              <w:spacing w:after="0" w:before="0"/>
              <w:jc w:val="left"/>
            </w:pPr>
            <w:r>
              <w:rPr>
                <w:rFonts w:ascii="Arial" w:hAnsi="Arial"/>
                <w:b/>
                <w:i w:val="0"/>
                <w:color w:val="111111"/>
                <w:sz w:val="18"/>
              </w:rPr>
              <w:t>Module</w:t>
            </w:r>
          </w:p>
        </w:tc>
        <w:tc>
          <w:tcPr>
            <w:tcW w:type="dxa" w:w="3528"/>
            <w:vAlign w:val="top"/>
            <w:shd w:val="clear" w:color="auto" w:fill="DDEBF7"/>
          </w:tcPr>
          <w:p>
            <w:pPr>
              <w:spacing w:after="0" w:before="0"/>
              <w:jc w:val="left"/>
            </w:pPr>
            <w:r>
              <w:rPr>
                <w:rFonts w:ascii="Arial" w:hAnsi="Arial"/>
                <w:b/>
                <w:i w:val="0"/>
                <w:color w:val="111111"/>
                <w:sz w:val="18"/>
              </w:rPr>
              <w:t>Why The Split Or Refactor Matters</w:t>
            </w:r>
          </w:p>
        </w:tc>
        <w:tc>
          <w:tcPr>
            <w:tcW w:type="dxa" w:w="3240"/>
            <w:vAlign w:val="top"/>
            <w:shd w:val="clear" w:color="auto" w:fill="DDEBF7"/>
          </w:tcPr>
          <w:p>
            <w:pPr>
              <w:spacing w:after="0" w:before="0"/>
              <w:jc w:val="left"/>
            </w:pPr>
            <w:r>
              <w:rPr>
                <w:rFonts w:ascii="Arial" w:hAnsi="Arial"/>
                <w:b/>
                <w:i w:val="0"/>
                <w:color w:val="111111"/>
                <w:sz w:val="18"/>
              </w:rPr>
              <w:t>What Should Not Stay Coupled To The Base Module</w:t>
            </w:r>
          </w:p>
        </w:tc>
        <w:tc>
          <w:tcPr>
            <w:tcW w:type="dxa" w:w="5544"/>
            <w:vAlign w:val="top"/>
            <w:shd w:val="clear" w:color="auto" w:fill="DDEBF7"/>
          </w:tcPr>
          <w:p>
            <w:pPr>
              <w:spacing w:after="0" w:before="0"/>
              <w:jc w:val="left"/>
            </w:pPr>
            <w:r>
              <w:rPr>
                <w:rFonts w:ascii="Arial" w:hAnsi="Arial"/>
                <w:b/>
                <w:i w:val="0"/>
                <w:color w:val="111111"/>
                <w:sz w:val="18"/>
              </w:rPr>
              <w:t>What Usually Requires The Separation</w:t>
            </w:r>
          </w:p>
        </w:tc>
      </w:tr>
      <w:tr>
        <w:tc>
          <w:tcPr>
            <w:tcW w:type="dxa" w:w="2088"/>
            <w:vAlign w:val="top"/>
            <w:shd w:val="clear" w:color="auto" w:fill="F8FBFE"/>
          </w:tcPr>
          <w:p>
            <w:pPr>
              <w:spacing w:after="0" w:before="0"/>
              <w:jc w:val="left"/>
            </w:pPr>
            <w:r>
              <w:rPr>
                <w:rFonts w:ascii="Arial" w:hAnsi="Arial"/>
                <w:b/>
                <w:i w:val="0"/>
                <w:color w:val="111111"/>
                <w:sz w:val="18"/>
              </w:rPr>
              <w:t>APIM Service</w:t>
            </w:r>
          </w:p>
        </w:tc>
        <w:tc>
          <w:tcPr>
            <w:tcW w:type="dxa" w:w="3528"/>
            <w:vAlign w:val="top"/>
            <w:shd w:val="clear" w:color="auto" w:fill="F8FBFE"/>
          </w:tcPr>
          <w:p>
            <w:pPr>
              <w:spacing w:after="0" w:before="0"/>
              <w:jc w:val="left"/>
            </w:pPr>
            <w:r>
              <w:rPr>
                <w:rFonts w:ascii="Arial" w:hAnsi="Arial"/>
                <w:b w:val="0"/>
                <w:i w:val="0"/>
                <w:color w:val="111111"/>
                <w:sz w:val="18"/>
              </w:rPr>
              <w:t>The APIM service is a platform asset with a long lifecycle, while APIs, backends, products, policies, and named values change with application delivery. Splitting them avoids constant churn in the service module.</w:t>
            </w:r>
          </w:p>
        </w:tc>
        <w:tc>
          <w:tcPr>
            <w:tcW w:type="dxa" w:w="3240"/>
            <w:vAlign w:val="top"/>
            <w:shd w:val="clear" w:color="auto" w:fill="F8FBFE"/>
          </w:tcPr>
          <w:p>
            <w:pPr>
              <w:spacing w:after="0" w:before="0"/>
              <w:jc w:val="left"/>
            </w:pPr>
            <w:r>
              <w:rPr>
                <w:rFonts w:ascii="Arial" w:hAnsi="Arial"/>
                <w:b w:val="0"/>
                <w:i w:val="0"/>
                <w:color w:val="111111"/>
                <w:sz w:val="18"/>
              </w:rPr>
              <w:t>APIs, products, backends, named values, policies, loggers, and subscriptions.</w:t>
            </w:r>
          </w:p>
        </w:tc>
        <w:tc>
          <w:tcPr>
            <w:tcW w:type="dxa" w:w="5544"/>
            <w:vAlign w:val="top"/>
            <w:shd w:val="clear" w:color="auto" w:fill="F8FBFE"/>
          </w:tcPr>
          <w:p>
            <w:pPr>
              <w:spacing w:after="0" w:before="0"/>
              <w:jc w:val="left"/>
            </w:pPr>
            <w:r>
              <w:rPr>
                <w:rFonts w:ascii="Arial" w:hAnsi="Arial"/>
                <w:b w:val="0"/>
                <w:i w:val="0"/>
                <w:color w:val="111111"/>
                <w:sz w:val="18"/>
              </w:rPr>
              <w:t>New API onboarding, versioning, product packaging, app-team release cadence, and shared APIM platform ownership.</w:t>
            </w:r>
          </w:p>
        </w:tc>
      </w:tr>
      <w:tr>
        <w:tc>
          <w:tcPr>
            <w:tcW w:type="dxa" w:w="2088"/>
            <w:vAlign w:val="top"/>
          </w:tcPr>
          <w:p>
            <w:pPr>
              <w:spacing w:after="0" w:before="0"/>
              <w:jc w:val="left"/>
            </w:pPr>
            <w:r>
              <w:rPr>
                <w:rFonts w:ascii="Arial" w:hAnsi="Arial"/>
                <w:b/>
                <w:i w:val="0"/>
                <w:color w:val="111111"/>
                <w:sz w:val="18"/>
              </w:rPr>
              <w:t>APIM API</w:t>
            </w:r>
          </w:p>
        </w:tc>
        <w:tc>
          <w:tcPr>
            <w:tcW w:type="dxa" w:w="3528"/>
            <w:vAlign w:val="top"/>
          </w:tcPr>
          <w:p>
            <w:pPr>
              <w:spacing w:after="0" w:before="0"/>
              <w:jc w:val="left"/>
            </w:pPr>
            <w:r>
              <w:rPr>
                <w:rFonts w:ascii="Arial" w:hAnsi="Arial"/>
                <w:b w:val="0"/>
                <w:i w:val="0"/>
                <w:color w:val="111111"/>
                <w:sz w:val="18"/>
              </w:rPr>
              <w:t>An API lifecycle is broader than just the API resource. Operations, policies, releases, and diagnostics often need to change independently without changing the API shell every time.</w:t>
            </w:r>
          </w:p>
        </w:tc>
        <w:tc>
          <w:tcPr>
            <w:tcW w:type="dxa" w:w="3240"/>
            <w:vAlign w:val="top"/>
          </w:tcPr>
          <w:p>
            <w:pPr>
              <w:spacing w:after="0" w:before="0"/>
              <w:jc w:val="left"/>
            </w:pPr>
            <w:r>
              <w:rPr>
                <w:rFonts w:ascii="Arial" w:hAnsi="Arial"/>
                <w:b w:val="0"/>
                <w:i w:val="0"/>
                <w:color w:val="111111"/>
                <w:sz w:val="18"/>
              </w:rPr>
              <w:t>Operations, policies, diagnostics, releases, version sets, and tags.</w:t>
            </w:r>
          </w:p>
        </w:tc>
        <w:tc>
          <w:tcPr>
            <w:tcW w:type="dxa" w:w="5544"/>
            <w:vAlign w:val="top"/>
          </w:tcPr>
          <w:p>
            <w:pPr>
              <w:spacing w:after="0" w:before="0"/>
              <w:jc w:val="left"/>
            </w:pPr>
            <w:r>
              <w:rPr>
                <w:rFonts w:ascii="Arial" w:hAnsi="Arial"/>
                <w:b w:val="0"/>
                <w:i w:val="0"/>
                <w:color w:val="111111"/>
                <w:sz w:val="18"/>
              </w:rPr>
              <w:t>API versioning, release management, policy rollout, and separate ownership of API design vs API operations.</w:t>
            </w:r>
          </w:p>
        </w:tc>
      </w:tr>
      <w:tr>
        <w:tc>
          <w:tcPr>
            <w:tcW w:type="dxa" w:w="2088"/>
            <w:vAlign w:val="top"/>
            <w:shd w:val="clear" w:color="auto" w:fill="F8FBFE"/>
          </w:tcPr>
          <w:p>
            <w:pPr>
              <w:spacing w:after="0" w:before="0"/>
              <w:jc w:val="left"/>
            </w:pPr>
            <w:r>
              <w:rPr>
                <w:rFonts w:ascii="Arial" w:hAnsi="Arial"/>
                <w:b/>
                <w:i w:val="0"/>
                <w:color w:val="111111"/>
                <w:sz w:val="18"/>
              </w:rPr>
              <w:t>APIM Product</w:t>
            </w:r>
          </w:p>
        </w:tc>
        <w:tc>
          <w:tcPr>
            <w:tcW w:type="dxa" w:w="3528"/>
            <w:vAlign w:val="top"/>
            <w:shd w:val="clear" w:color="auto" w:fill="F8FBFE"/>
          </w:tcPr>
          <w:p>
            <w:pPr>
              <w:spacing w:after="0" w:before="0"/>
              <w:jc w:val="left"/>
            </w:pPr>
            <w:r>
              <w:rPr>
                <w:rFonts w:ascii="Arial" w:hAnsi="Arial"/>
                <w:b w:val="0"/>
                <w:i w:val="0"/>
                <w:color w:val="111111"/>
                <w:sz w:val="18"/>
              </w:rPr>
              <w:t>Products are small and reusable, but their relationships to APIs, groups, policies, and subscriptions often change independently. Keeping those links separate keeps product lifecycle cleaner.</w:t>
            </w:r>
          </w:p>
        </w:tc>
        <w:tc>
          <w:tcPr>
            <w:tcW w:type="dxa" w:w="3240"/>
            <w:vAlign w:val="top"/>
            <w:shd w:val="clear" w:color="auto" w:fill="F8FBFE"/>
          </w:tcPr>
          <w:p>
            <w:pPr>
              <w:spacing w:after="0" w:before="0"/>
              <w:jc w:val="left"/>
            </w:pPr>
            <w:r>
              <w:rPr>
                <w:rFonts w:ascii="Arial" w:hAnsi="Arial"/>
                <w:b w:val="0"/>
                <w:i w:val="0"/>
                <w:color w:val="111111"/>
                <w:sz w:val="18"/>
              </w:rPr>
              <w:t>API links, group links, product policies, and subscription handling.</w:t>
            </w:r>
          </w:p>
        </w:tc>
        <w:tc>
          <w:tcPr>
            <w:tcW w:type="dxa" w:w="5544"/>
            <w:vAlign w:val="top"/>
            <w:shd w:val="clear" w:color="auto" w:fill="F8FBFE"/>
          </w:tcPr>
          <w:p>
            <w:pPr>
              <w:spacing w:after="0" w:before="0"/>
              <w:jc w:val="left"/>
            </w:pPr>
            <w:r>
              <w:rPr>
                <w:rFonts w:ascii="Arial" w:hAnsi="Arial"/>
                <w:b w:val="0"/>
                <w:i w:val="0"/>
                <w:color w:val="111111"/>
                <w:sz w:val="18"/>
              </w:rPr>
              <w:t>Changing consumer groups, packaging APIs into different products, and independent product governance.</w:t>
            </w:r>
          </w:p>
        </w:tc>
      </w:tr>
      <w:tr>
        <w:tc>
          <w:tcPr>
            <w:tcW w:type="dxa" w:w="2088"/>
            <w:vAlign w:val="top"/>
          </w:tcPr>
          <w:p>
            <w:pPr>
              <w:spacing w:after="0" w:before="0"/>
              <w:jc w:val="left"/>
            </w:pPr>
            <w:r>
              <w:rPr>
                <w:rFonts w:ascii="Arial" w:hAnsi="Arial"/>
                <w:b/>
                <w:i w:val="0"/>
                <w:color w:val="111111"/>
                <w:sz w:val="18"/>
              </w:rPr>
              <w:t>APIM Backend</w:t>
            </w:r>
          </w:p>
        </w:tc>
        <w:tc>
          <w:tcPr>
            <w:tcW w:type="dxa" w:w="3528"/>
            <w:vAlign w:val="top"/>
          </w:tcPr>
          <w:p>
            <w:pPr>
              <w:spacing w:after="0" w:before="0"/>
              <w:jc w:val="left"/>
            </w:pPr>
            <w:r>
              <w:rPr>
                <w:rFonts w:ascii="Arial" w:hAnsi="Arial"/>
                <w:b w:val="0"/>
                <w:i w:val="0"/>
                <w:color w:val="111111"/>
                <w:sz w:val="18"/>
              </w:rPr>
              <w:t>Backends are useful as their own module, but auth, certificates, and secret sourcing should not be buried inside the backend definition because those have separate rotation and security concerns.</w:t>
            </w:r>
          </w:p>
        </w:tc>
        <w:tc>
          <w:tcPr>
            <w:tcW w:type="dxa" w:w="3240"/>
            <w:vAlign w:val="top"/>
          </w:tcPr>
          <w:p>
            <w:pPr>
              <w:spacing w:after="0" w:before="0"/>
              <w:jc w:val="left"/>
            </w:pPr>
            <w:r>
              <w:rPr>
                <w:rFonts w:ascii="Arial" w:hAnsi="Arial"/>
                <w:b w:val="0"/>
                <w:i w:val="0"/>
                <w:color w:val="111111"/>
                <w:sz w:val="18"/>
              </w:rPr>
              <w:t>Backend auth configuration, certificates, and secret material sourcing.</w:t>
            </w:r>
          </w:p>
        </w:tc>
        <w:tc>
          <w:tcPr>
            <w:tcW w:type="dxa" w:w="5544"/>
            <w:vAlign w:val="top"/>
          </w:tcPr>
          <w:p>
            <w:pPr>
              <w:spacing w:after="0" w:before="0"/>
              <w:jc w:val="left"/>
            </w:pPr>
            <w:r>
              <w:rPr>
                <w:rFonts w:ascii="Arial" w:hAnsi="Arial"/>
                <w:b w:val="0"/>
                <w:i w:val="0"/>
                <w:color w:val="111111"/>
                <w:sz w:val="18"/>
              </w:rPr>
              <w:t>Function keys, service credentials, Key Vault-based secret handling, and backend certificate rotation.</w:t>
            </w:r>
          </w:p>
        </w:tc>
      </w:tr>
      <w:tr>
        <w:tc>
          <w:tcPr>
            <w:tcW w:type="dxa" w:w="2088"/>
            <w:vAlign w:val="top"/>
            <w:shd w:val="clear" w:color="auto" w:fill="F8FBFE"/>
          </w:tcPr>
          <w:p>
            <w:pPr>
              <w:spacing w:after="0" w:before="0"/>
              <w:jc w:val="left"/>
            </w:pPr>
            <w:r>
              <w:rPr>
                <w:rFonts w:ascii="Arial" w:hAnsi="Arial"/>
                <w:b/>
                <w:i w:val="0"/>
                <w:color w:val="111111"/>
                <w:sz w:val="18"/>
              </w:rPr>
              <w:t>Event Grid</w:t>
            </w:r>
          </w:p>
        </w:tc>
        <w:tc>
          <w:tcPr>
            <w:tcW w:type="dxa" w:w="3528"/>
            <w:vAlign w:val="top"/>
            <w:shd w:val="clear" w:color="auto" w:fill="F8FBFE"/>
          </w:tcPr>
          <w:p>
            <w:pPr>
              <w:spacing w:after="0" w:before="0"/>
              <w:jc w:val="left"/>
            </w:pPr>
            <w:r>
              <w:rPr>
                <w:rFonts w:ascii="Arial" w:hAnsi="Arial"/>
                <w:b w:val="0"/>
                <w:i w:val="0"/>
                <w:color w:val="111111"/>
                <w:sz w:val="18"/>
              </w:rPr>
              <w:t>Topics and subscriptions often belong to different owners. Keeping them together makes every new consumer a platform change instead of a consumer-level change.</w:t>
            </w:r>
          </w:p>
        </w:tc>
        <w:tc>
          <w:tcPr>
            <w:tcW w:type="dxa" w:w="3240"/>
            <w:vAlign w:val="top"/>
            <w:shd w:val="clear" w:color="auto" w:fill="F8FBFE"/>
          </w:tcPr>
          <w:p>
            <w:pPr>
              <w:spacing w:after="0" w:before="0"/>
              <w:jc w:val="left"/>
            </w:pPr>
            <w:r>
              <w:rPr>
                <w:rFonts w:ascii="Arial" w:hAnsi="Arial"/>
                <w:b w:val="0"/>
                <w:i w:val="0"/>
                <w:color w:val="111111"/>
                <w:sz w:val="18"/>
              </w:rPr>
              <w:t>Subscriptions, dead-letter settings, private access, and diagnostics.</w:t>
            </w:r>
          </w:p>
        </w:tc>
        <w:tc>
          <w:tcPr>
            <w:tcW w:type="dxa" w:w="5544"/>
            <w:vAlign w:val="top"/>
            <w:shd w:val="clear" w:color="auto" w:fill="F8FBFE"/>
          </w:tcPr>
          <w:p>
            <w:pPr>
              <w:spacing w:after="0" w:before="0"/>
              <w:jc w:val="left"/>
            </w:pPr>
            <w:r>
              <w:rPr>
                <w:rFonts w:ascii="Arial" w:hAnsi="Arial"/>
                <w:b w:val="0"/>
                <w:i w:val="0"/>
                <w:color w:val="111111"/>
                <w:sz w:val="18"/>
              </w:rPr>
              <w:t>Multiple subscribers, different filtering and retry needs, consumer onboarding, and event-driven integration growth over time.</w:t>
            </w:r>
          </w:p>
        </w:tc>
      </w:tr>
    </w:tbl>
    <w:p/>
    <w:p>
      <w:pPr>
        <w:pStyle w:val="Heading2"/>
        <w:spacing w:before="120" w:after="60"/>
      </w:pPr>
      <w:r>
        <w:rPr>
          <w:rFonts w:ascii="Arial" w:hAnsi="Arial"/>
          <w:b w:val="0"/>
          <w:i w:val="0"/>
          <w:color w:val="111111"/>
          <w:sz w:val="21"/>
        </w:rPr>
        <w:t>Observability and Operations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2088"/>
            <w:vAlign w:val="top"/>
            <w:shd w:val="clear" w:color="auto" w:fill="DDEBF7"/>
          </w:tcPr>
          <w:p>
            <w:pPr>
              <w:spacing w:after="0" w:before="0"/>
              <w:jc w:val="left"/>
            </w:pPr>
            <w:r>
              <w:rPr>
                <w:rFonts w:ascii="Arial" w:hAnsi="Arial"/>
                <w:b/>
                <w:i w:val="0"/>
                <w:color w:val="111111"/>
                <w:sz w:val="18"/>
              </w:rPr>
              <w:t>Module</w:t>
            </w:r>
          </w:p>
        </w:tc>
        <w:tc>
          <w:tcPr>
            <w:tcW w:type="dxa" w:w="3528"/>
            <w:vAlign w:val="top"/>
            <w:shd w:val="clear" w:color="auto" w:fill="DDEBF7"/>
          </w:tcPr>
          <w:p>
            <w:pPr>
              <w:spacing w:after="0" w:before="0"/>
              <w:jc w:val="left"/>
            </w:pPr>
            <w:r>
              <w:rPr>
                <w:rFonts w:ascii="Arial" w:hAnsi="Arial"/>
                <w:b/>
                <w:i w:val="0"/>
                <w:color w:val="111111"/>
                <w:sz w:val="18"/>
              </w:rPr>
              <w:t>Why The Split Or Refactor Matters</w:t>
            </w:r>
          </w:p>
        </w:tc>
        <w:tc>
          <w:tcPr>
            <w:tcW w:type="dxa" w:w="3240"/>
            <w:vAlign w:val="top"/>
            <w:shd w:val="clear" w:color="auto" w:fill="DDEBF7"/>
          </w:tcPr>
          <w:p>
            <w:pPr>
              <w:spacing w:after="0" w:before="0"/>
              <w:jc w:val="left"/>
            </w:pPr>
            <w:r>
              <w:rPr>
                <w:rFonts w:ascii="Arial" w:hAnsi="Arial"/>
                <w:b/>
                <w:i w:val="0"/>
                <w:color w:val="111111"/>
                <w:sz w:val="18"/>
              </w:rPr>
              <w:t>What Should Not Stay Coupled To The Base Module</w:t>
            </w:r>
          </w:p>
        </w:tc>
        <w:tc>
          <w:tcPr>
            <w:tcW w:type="dxa" w:w="5544"/>
            <w:vAlign w:val="top"/>
            <w:shd w:val="clear" w:color="auto" w:fill="DDEBF7"/>
          </w:tcPr>
          <w:p>
            <w:pPr>
              <w:spacing w:after="0" w:before="0"/>
              <w:jc w:val="left"/>
            </w:pPr>
            <w:r>
              <w:rPr>
                <w:rFonts w:ascii="Arial" w:hAnsi="Arial"/>
                <w:b/>
                <w:i w:val="0"/>
                <w:color w:val="111111"/>
                <w:sz w:val="18"/>
              </w:rPr>
              <w:t>What Usually Requires The Separation</w:t>
            </w:r>
          </w:p>
        </w:tc>
      </w:tr>
      <w:tr>
        <w:tc>
          <w:tcPr>
            <w:tcW w:type="dxa" w:w="2088"/>
            <w:vAlign w:val="top"/>
            <w:shd w:val="clear" w:color="auto" w:fill="F8FBFE"/>
          </w:tcPr>
          <w:p>
            <w:pPr>
              <w:spacing w:after="0" w:before="0"/>
              <w:jc w:val="left"/>
            </w:pPr>
            <w:r>
              <w:rPr>
                <w:rFonts w:ascii="Arial" w:hAnsi="Arial"/>
                <w:b/>
                <w:i w:val="0"/>
                <w:color w:val="111111"/>
                <w:sz w:val="18"/>
              </w:rPr>
              <w:t>Application Insights</w:t>
            </w:r>
          </w:p>
        </w:tc>
        <w:tc>
          <w:tcPr>
            <w:tcW w:type="dxa" w:w="3528"/>
            <w:vAlign w:val="top"/>
            <w:shd w:val="clear" w:color="auto" w:fill="F8FBFE"/>
          </w:tcPr>
          <w:p>
            <w:pPr>
              <w:spacing w:after="0" w:before="0"/>
              <w:jc w:val="left"/>
            </w:pPr>
            <w:r>
              <w:rPr>
                <w:rFonts w:ascii="Arial" w:hAnsi="Arial"/>
                <w:b w:val="0"/>
                <w:i w:val="0"/>
                <w:color w:val="111111"/>
                <w:sz w:val="18"/>
              </w:rPr>
              <w:t>Application Insights is small and reusable as a core service, but web tests, alerting, and workbooks usually evolve with operations rather than the telemetry resource itself.</w:t>
            </w:r>
          </w:p>
        </w:tc>
        <w:tc>
          <w:tcPr>
            <w:tcW w:type="dxa" w:w="3240"/>
            <w:vAlign w:val="top"/>
            <w:shd w:val="clear" w:color="auto" w:fill="F8FBFE"/>
          </w:tcPr>
          <w:p>
            <w:pPr>
              <w:spacing w:after="0" w:before="0"/>
              <w:jc w:val="left"/>
            </w:pPr>
            <w:r>
              <w:rPr>
                <w:rFonts w:ascii="Arial" w:hAnsi="Arial"/>
                <w:b w:val="0"/>
                <w:i w:val="0"/>
                <w:color w:val="111111"/>
                <w:sz w:val="18"/>
              </w:rPr>
              <w:t>Alerts, web tests, dashboards, and workbooks.</w:t>
            </w:r>
          </w:p>
        </w:tc>
        <w:tc>
          <w:tcPr>
            <w:tcW w:type="dxa" w:w="5544"/>
            <w:vAlign w:val="top"/>
            <w:shd w:val="clear" w:color="auto" w:fill="F8FBFE"/>
          </w:tcPr>
          <w:p>
            <w:pPr>
              <w:spacing w:after="0" w:before="0"/>
              <w:jc w:val="left"/>
            </w:pPr>
            <w:r>
              <w:rPr>
                <w:rFonts w:ascii="Arial" w:hAnsi="Arial"/>
                <w:b w:val="0"/>
                <w:i w:val="0"/>
                <w:color w:val="111111"/>
                <w:sz w:val="18"/>
              </w:rPr>
              <w:t>App-specific alert thresholds, synthetic monitoring rollout, and environment-specific operational dashboards.</w:t>
            </w:r>
          </w:p>
        </w:tc>
      </w:tr>
      <w:tr>
        <w:tc>
          <w:tcPr>
            <w:tcW w:type="dxa" w:w="2088"/>
            <w:vAlign w:val="top"/>
          </w:tcPr>
          <w:p>
            <w:pPr>
              <w:spacing w:after="0" w:before="0"/>
              <w:jc w:val="left"/>
            </w:pPr>
            <w:r>
              <w:rPr>
                <w:rFonts w:ascii="Arial" w:hAnsi="Arial"/>
                <w:b/>
                <w:i w:val="0"/>
                <w:color w:val="111111"/>
                <w:sz w:val="18"/>
              </w:rPr>
              <w:t>Log Analytics</w:t>
            </w:r>
          </w:p>
        </w:tc>
        <w:tc>
          <w:tcPr>
            <w:tcW w:type="dxa" w:w="3528"/>
            <w:vAlign w:val="top"/>
          </w:tcPr>
          <w:p>
            <w:pPr>
              <w:spacing w:after="0" w:before="0"/>
              <w:jc w:val="left"/>
            </w:pPr>
            <w:r>
              <w:rPr>
                <w:rFonts w:ascii="Arial" w:hAnsi="Arial"/>
                <w:b w:val="0"/>
                <w:i w:val="0"/>
                <w:color w:val="111111"/>
                <w:sz w:val="18"/>
              </w:rPr>
              <w:t>The workspace is a shared platform capability. Onboarding diagnostics, data collection, and attached services should not all be hidden inside the workspace lifecycle.</w:t>
            </w:r>
          </w:p>
        </w:tc>
        <w:tc>
          <w:tcPr>
            <w:tcW w:type="dxa" w:w="3240"/>
            <w:vAlign w:val="top"/>
          </w:tcPr>
          <w:p>
            <w:pPr>
              <w:spacing w:after="0" w:before="0"/>
              <w:jc w:val="left"/>
            </w:pPr>
            <w:r>
              <w:rPr>
                <w:rFonts w:ascii="Arial" w:hAnsi="Arial"/>
                <w:b w:val="0"/>
                <w:i w:val="0"/>
                <w:color w:val="111111"/>
                <w:sz w:val="18"/>
              </w:rPr>
              <w:t>Diagnostics onboarding, alerting, data collection rules, and bundled observability add-ons.</w:t>
            </w:r>
          </w:p>
        </w:tc>
        <w:tc>
          <w:tcPr>
            <w:tcW w:type="dxa" w:w="5544"/>
            <w:vAlign w:val="top"/>
          </w:tcPr>
          <w:p>
            <w:pPr>
              <w:spacing w:after="0" w:before="0"/>
              <w:jc w:val="left"/>
            </w:pPr>
            <w:r>
              <w:rPr>
                <w:rFonts w:ascii="Arial" w:hAnsi="Arial"/>
                <w:b w:val="0"/>
                <w:i w:val="0"/>
                <w:color w:val="111111"/>
                <w:sz w:val="18"/>
              </w:rPr>
              <w:t>Many services sharing one workspace, evolving ingestion rules, cost control, and centralized monitoring ownership.</w:t>
            </w:r>
          </w:p>
        </w:tc>
      </w:tr>
      <w:tr>
        <w:tc>
          <w:tcPr>
            <w:tcW w:type="dxa" w:w="2088"/>
            <w:vAlign w:val="top"/>
            <w:shd w:val="clear" w:color="auto" w:fill="F8FBFE"/>
          </w:tcPr>
          <w:p>
            <w:pPr>
              <w:spacing w:after="0" w:before="0"/>
              <w:jc w:val="left"/>
            </w:pPr>
            <w:r>
              <w:rPr>
                <w:rFonts w:ascii="Arial" w:hAnsi="Arial"/>
                <w:b/>
                <w:i w:val="0"/>
                <w:color w:val="111111"/>
                <w:sz w:val="18"/>
              </w:rPr>
              <w:t>Action Group</w:t>
            </w:r>
          </w:p>
        </w:tc>
        <w:tc>
          <w:tcPr>
            <w:tcW w:type="dxa" w:w="3528"/>
            <w:vAlign w:val="top"/>
            <w:shd w:val="clear" w:color="auto" w:fill="F8FBFE"/>
          </w:tcPr>
          <w:p>
            <w:pPr>
              <w:spacing w:after="0" w:before="0"/>
              <w:jc w:val="left"/>
            </w:pPr>
            <w:r>
              <w:rPr>
                <w:rFonts w:ascii="Arial" w:hAnsi="Arial"/>
                <w:b w:val="0"/>
                <w:i w:val="0"/>
                <w:color w:val="111111"/>
                <w:sz w:val="18"/>
              </w:rPr>
              <w:t>The action group itself is a focused reusable object, but alert rules should stay separate so different services can use the same receivers without sharing one alert lifecycle.</w:t>
            </w:r>
          </w:p>
        </w:tc>
        <w:tc>
          <w:tcPr>
            <w:tcW w:type="dxa" w:w="3240"/>
            <w:vAlign w:val="top"/>
            <w:shd w:val="clear" w:color="auto" w:fill="F8FBFE"/>
          </w:tcPr>
          <w:p>
            <w:pPr>
              <w:spacing w:after="0" w:before="0"/>
              <w:jc w:val="left"/>
            </w:pPr>
            <w:r>
              <w:rPr>
                <w:rFonts w:ascii="Arial" w:hAnsi="Arial"/>
                <w:b w:val="0"/>
                <w:i w:val="0"/>
                <w:color w:val="111111"/>
                <w:sz w:val="18"/>
              </w:rPr>
              <w:t>Alert rules and service-specific signal logic.</w:t>
            </w:r>
          </w:p>
        </w:tc>
        <w:tc>
          <w:tcPr>
            <w:tcW w:type="dxa" w:w="5544"/>
            <w:vAlign w:val="top"/>
            <w:shd w:val="clear" w:color="auto" w:fill="F8FBFE"/>
          </w:tcPr>
          <w:p>
            <w:pPr>
              <w:spacing w:after="0" w:before="0"/>
              <w:jc w:val="left"/>
            </w:pPr>
            <w:r>
              <w:rPr>
                <w:rFonts w:ascii="Arial" w:hAnsi="Arial"/>
                <w:b w:val="0"/>
                <w:i w:val="0"/>
                <w:color w:val="111111"/>
                <w:sz w:val="18"/>
              </w:rPr>
              <w:t>Shared notification channels, multiple alerting strategies, and operations teams reusing one receiver set across many workloads.</w:t>
            </w:r>
          </w:p>
        </w:tc>
      </w:tr>
    </w:tbl>
    <w:p/>
    <w:p>
      <w:pPr>
        <w:pStyle w:val="Heading1"/>
        <w:spacing w:before="160" w:after="80"/>
      </w:pPr>
      <w:r>
        <w:rPr>
          <w:rFonts w:ascii="Arial" w:hAnsi="Arial"/>
          <w:b w:val="0"/>
          <w:i w:val="0"/>
          <w:color w:val="111111"/>
          <w:sz w:val="21"/>
        </w:rPr>
        <w:t>What Happens If The Modules Are Not Split</w:t>
      </w:r>
    </w:p>
    <w:p>
      <w:pPr>
        <w:pStyle w:val="ListBullet"/>
        <w:spacing w:after="60"/>
      </w:pPr>
      <w:r>
        <w:rPr>
          <w:rFonts w:ascii="Arial" w:hAnsi="Arial"/>
          <w:b w:val="0"/>
          <w:i w:val="0"/>
          <w:color w:val="111111"/>
          <w:sz w:val="21"/>
        </w:rPr>
        <w:t>Small changes create large plans that are harder to review and riskier to approve.</w:t>
      </w:r>
    </w:p>
    <w:p>
      <w:pPr>
        <w:pStyle w:val="ListBullet"/>
        <w:spacing w:after="60"/>
      </w:pPr>
      <w:r>
        <w:rPr>
          <w:rFonts w:ascii="Arial" w:hAnsi="Arial"/>
          <w:b w:val="0"/>
          <w:i w:val="0"/>
          <w:color w:val="111111"/>
          <w:sz w:val="21"/>
        </w:rPr>
        <w:t>Teams begin using manual portal changes because the shared module is too heavy or too restrictive.</w:t>
      </w:r>
    </w:p>
    <w:p>
      <w:pPr>
        <w:pStyle w:val="ListBullet"/>
        <w:spacing w:after="60"/>
      </w:pPr>
      <w:r>
        <w:rPr>
          <w:rFonts w:ascii="Consolas" w:hAnsi="Consolas"/>
          <w:b w:val="0"/>
          <w:i w:val="0"/>
          <w:color w:val="111111"/>
          <w:sz w:val="21"/>
        </w:rPr>
        <w:t>ignore_changes</w:t>
      </w:r>
      <w:r>
        <w:rPr>
          <w:rFonts w:ascii="Arial" w:hAnsi="Arial"/>
          <w:b w:val="0"/>
          <w:i w:val="0"/>
          <w:color w:val="111111"/>
          <w:sz w:val="21"/>
        </w:rPr>
        <w:t xml:space="preserve"> gets added to suppress drift instead of fixing ownership boundaries.</w:t>
      </w:r>
    </w:p>
    <w:p>
      <w:pPr>
        <w:pStyle w:val="ListBullet"/>
        <w:spacing w:after="60"/>
      </w:pPr>
      <w:r>
        <w:rPr>
          <w:rFonts w:ascii="Arial" w:hAnsi="Arial"/>
          <w:b w:val="0"/>
          <w:i w:val="0"/>
          <w:color w:val="111111"/>
          <w:sz w:val="21"/>
        </w:rPr>
        <w:t>Application teams fork modules because the base contract does not fit their use case cleanly.</w:t>
      </w:r>
    </w:p>
    <w:p>
      <w:pPr>
        <w:pStyle w:val="ListBullet"/>
        <w:spacing w:after="60"/>
      </w:pPr>
      <w:r>
        <w:rPr>
          <w:rFonts w:ascii="Arial" w:hAnsi="Arial"/>
          <w:b w:val="0"/>
          <w:i w:val="0"/>
          <w:color w:val="111111"/>
          <w:sz w:val="21"/>
        </w:rPr>
        <w:t>Security, networking, and app teams end up competing over the same resource state.</w:t>
      </w:r>
    </w:p>
    <w:p>
      <w:pPr>
        <w:pStyle w:val="ListBullet"/>
        <w:spacing w:after="60"/>
      </w:pPr>
      <w:r>
        <w:rPr>
          <w:rFonts w:ascii="Arial" w:hAnsi="Arial"/>
          <w:b w:val="0"/>
          <w:i w:val="0"/>
          <w:color w:val="111111"/>
          <w:sz w:val="21"/>
        </w:rPr>
        <w:t>Imports and state reconciliation become routine because Terraform ownership is not clearly bounded.</w:t>
      </w:r>
    </w:p>
    <w:p>
      <w:pPr>
        <w:pStyle w:val="Heading1"/>
        <w:spacing w:before="160" w:after="80"/>
      </w:pPr>
      <w:r>
        <w:rPr>
          <w:rFonts w:ascii="Arial" w:hAnsi="Arial"/>
          <w:b w:val="0"/>
          <w:i w:val="0"/>
          <w:color w:val="111111"/>
          <w:sz w:val="21"/>
        </w:rPr>
        <w:t>Typical Enterprise Conditions That Force Decomposition</w:t>
      </w:r>
    </w:p>
    <w:tbl>
      <w:tblPr>
        <w:tblStyle w:val="TableGrid"/>
        <w:tblW w:type="auto" w:w="0"/>
        <w:jc w:val="center"/>
        <w:tblLayout w:type="fixed"/>
        <w:tblLook w:firstColumn="1" w:firstRow="1" w:lastColumn="0" w:lastRow="0" w:noHBand="0" w:noVBand="1" w:val="04A0"/>
      </w:tblPr>
      <w:tblGrid>
        <w:gridCol w:w="4848"/>
        <w:gridCol w:w="4848"/>
        <w:gridCol w:w="4848"/>
      </w:tblGrid>
      <w:tr>
        <w:trPr>
          <w:tblHeader w:val="true"/>
        </w:trPr>
        <w:tc>
          <w:tcPr>
            <w:tcW w:type="dxa" w:w="2160"/>
            <w:vAlign w:val="top"/>
            <w:shd w:val="clear" w:color="auto" w:fill="DDEBF7"/>
          </w:tcPr>
          <w:p>
            <w:pPr>
              <w:spacing w:after="0" w:before="0"/>
              <w:jc w:val="left"/>
            </w:pPr>
            <w:r>
              <w:rPr>
                <w:rFonts w:ascii="Arial" w:hAnsi="Arial"/>
                <w:b/>
                <w:i w:val="0"/>
                <w:color w:val="111111"/>
                <w:sz w:val="18"/>
              </w:rPr>
              <w:t>Condition</w:t>
            </w:r>
          </w:p>
        </w:tc>
        <w:tc>
          <w:tcPr>
            <w:tcW w:type="dxa" w:w="5184"/>
            <w:vAlign w:val="top"/>
            <w:shd w:val="clear" w:color="auto" w:fill="DDEBF7"/>
          </w:tcPr>
          <w:p>
            <w:pPr>
              <w:spacing w:after="0" w:before="0"/>
              <w:jc w:val="left"/>
            </w:pPr>
            <w:r>
              <w:rPr>
                <w:rFonts w:ascii="Arial" w:hAnsi="Arial"/>
                <w:b/>
                <w:i w:val="0"/>
                <w:color w:val="111111"/>
                <w:sz w:val="18"/>
              </w:rPr>
              <w:t>Why It Forces A Split</w:t>
            </w:r>
          </w:p>
        </w:tc>
        <w:tc>
          <w:tcPr>
            <w:tcW w:type="dxa" w:w="6408"/>
            <w:vAlign w:val="top"/>
            <w:shd w:val="clear" w:color="auto" w:fill="DDEBF7"/>
          </w:tcPr>
          <w:p>
            <w:pPr>
              <w:spacing w:after="0" w:before="0"/>
              <w:jc w:val="left"/>
            </w:pPr>
            <w:r>
              <w:rPr>
                <w:rFonts w:ascii="Arial" w:hAnsi="Arial"/>
                <w:b/>
                <w:i w:val="0"/>
                <w:color w:val="111111"/>
                <w:sz w:val="18"/>
              </w:rPr>
              <w:t>Examples</w:t>
            </w:r>
          </w:p>
        </w:tc>
      </w:tr>
      <w:tr>
        <w:tc>
          <w:tcPr>
            <w:tcW w:type="dxa" w:w="2160"/>
            <w:vAlign w:val="top"/>
            <w:shd w:val="clear" w:color="auto" w:fill="F8FBFE"/>
          </w:tcPr>
          <w:p>
            <w:pPr>
              <w:spacing w:after="0" w:before="0"/>
              <w:jc w:val="left"/>
            </w:pPr>
            <w:r>
              <w:rPr>
                <w:rFonts w:ascii="Arial" w:hAnsi="Arial"/>
                <w:b/>
                <w:i w:val="0"/>
                <w:color w:val="111111"/>
                <w:sz w:val="18"/>
              </w:rPr>
              <w:t>Central networking model</w:t>
            </w:r>
          </w:p>
        </w:tc>
        <w:tc>
          <w:tcPr>
            <w:tcW w:type="dxa" w:w="5184"/>
            <w:vAlign w:val="top"/>
            <w:shd w:val="clear" w:color="auto" w:fill="F8FBFE"/>
          </w:tcPr>
          <w:p>
            <w:pPr>
              <w:spacing w:after="0" w:before="0"/>
              <w:jc w:val="left"/>
            </w:pPr>
            <w:r>
              <w:rPr>
                <w:rFonts w:ascii="Arial" w:hAnsi="Arial"/>
                <w:b w:val="0"/>
                <w:i w:val="0"/>
                <w:color w:val="111111"/>
                <w:sz w:val="18"/>
              </w:rPr>
              <w:t>Networking teams often own subnets, route tables, DNS zones, and private endpoint placement rules.</w:t>
            </w:r>
          </w:p>
        </w:tc>
        <w:tc>
          <w:tcPr>
            <w:tcW w:type="dxa" w:w="6408"/>
            <w:vAlign w:val="top"/>
            <w:shd w:val="clear" w:color="auto" w:fill="F8FBFE"/>
          </w:tcPr>
          <w:p>
            <w:pPr>
              <w:spacing w:after="0" w:before="0"/>
              <w:jc w:val="left"/>
            </w:pPr>
            <w:r>
              <w:rPr>
                <w:rFonts w:ascii="Arial" w:hAnsi="Arial"/>
                <w:b w:val="0"/>
                <w:i w:val="0"/>
                <w:color w:val="111111"/>
                <w:sz w:val="18"/>
              </w:rPr>
              <w:t>Private endpoints, DNS links, NAT associations, NSG associations, and route table attachments.</w:t>
            </w:r>
          </w:p>
        </w:tc>
      </w:tr>
      <w:tr>
        <w:tc>
          <w:tcPr>
            <w:tcW w:type="dxa" w:w="2160"/>
            <w:vAlign w:val="top"/>
          </w:tcPr>
          <w:p>
            <w:pPr>
              <w:spacing w:after="0" w:before="0"/>
              <w:jc w:val="left"/>
            </w:pPr>
            <w:r>
              <w:rPr>
                <w:rFonts w:ascii="Arial" w:hAnsi="Arial"/>
                <w:b/>
                <w:i w:val="0"/>
                <w:color w:val="111111"/>
                <w:sz w:val="18"/>
              </w:rPr>
              <w:t>Security-owned controls</w:t>
            </w:r>
          </w:p>
        </w:tc>
        <w:tc>
          <w:tcPr>
            <w:tcW w:type="dxa" w:w="5184"/>
            <w:vAlign w:val="top"/>
          </w:tcPr>
          <w:p>
            <w:pPr>
              <w:spacing w:after="0" w:before="0"/>
              <w:jc w:val="left"/>
            </w:pPr>
            <w:r>
              <w:rPr>
                <w:rFonts w:ascii="Arial" w:hAnsi="Arial"/>
                <w:b w:val="0"/>
                <w:i w:val="0"/>
                <w:color w:val="111111"/>
                <w:sz w:val="18"/>
              </w:rPr>
              <w:t>Security teams may own encryption posture, RBAC rules, WAF rules, certificate sourcing, diagnostics, and alerting.</w:t>
            </w:r>
          </w:p>
        </w:tc>
        <w:tc>
          <w:tcPr>
            <w:tcW w:type="dxa" w:w="6408"/>
            <w:vAlign w:val="top"/>
          </w:tcPr>
          <w:p>
            <w:pPr>
              <w:spacing w:after="0" w:before="0"/>
              <w:jc w:val="left"/>
            </w:pPr>
            <w:r>
              <w:rPr>
                <w:rFonts w:ascii="Arial" w:hAnsi="Arial"/>
                <w:b w:val="0"/>
                <w:i w:val="0"/>
                <w:color w:val="111111"/>
                <w:sz w:val="18"/>
              </w:rPr>
              <w:t>Key Vault access, App Gateway WAF policy, SIEM diagnostics routing, and alert baselines.</w:t>
            </w:r>
          </w:p>
        </w:tc>
      </w:tr>
      <w:tr>
        <w:tc>
          <w:tcPr>
            <w:tcW w:type="dxa" w:w="2160"/>
            <w:vAlign w:val="top"/>
            <w:shd w:val="clear" w:color="auto" w:fill="F8FBFE"/>
          </w:tcPr>
          <w:p>
            <w:pPr>
              <w:spacing w:after="0" w:before="0"/>
              <w:jc w:val="left"/>
            </w:pPr>
            <w:r>
              <w:rPr>
                <w:rFonts w:ascii="Arial" w:hAnsi="Arial"/>
                <w:b/>
                <w:i w:val="0"/>
                <w:color w:val="111111"/>
                <w:sz w:val="18"/>
              </w:rPr>
              <w:t>Shared platform services</w:t>
            </w:r>
          </w:p>
        </w:tc>
        <w:tc>
          <w:tcPr>
            <w:tcW w:type="dxa" w:w="5184"/>
            <w:vAlign w:val="top"/>
            <w:shd w:val="clear" w:color="auto" w:fill="F8FBFE"/>
          </w:tcPr>
          <w:p>
            <w:pPr>
              <w:spacing w:after="0" w:before="0"/>
              <w:jc w:val="left"/>
            </w:pPr>
            <w:r>
              <w:rPr>
                <w:rFonts w:ascii="Arial" w:hAnsi="Arial"/>
                <w:b w:val="0"/>
                <w:i w:val="0"/>
                <w:color w:val="111111"/>
                <w:sz w:val="18"/>
              </w:rPr>
              <w:t>When many apps share the same service, consumers need to onboard children without re-owning the platform resource.</w:t>
            </w:r>
          </w:p>
        </w:tc>
        <w:tc>
          <w:tcPr>
            <w:tcW w:type="dxa" w:w="6408"/>
            <w:vAlign w:val="top"/>
            <w:shd w:val="clear" w:color="auto" w:fill="F8FBFE"/>
          </w:tcPr>
          <w:p>
            <w:pPr>
              <w:spacing w:after="0" w:before="0"/>
              <w:jc w:val="left"/>
            </w:pPr>
            <w:r>
              <w:rPr>
                <w:rFonts w:ascii="Arial" w:hAnsi="Arial"/>
                <w:b w:val="0"/>
                <w:i w:val="0"/>
                <w:color w:val="111111"/>
                <w:sz w:val="18"/>
              </w:rPr>
              <w:t>APIM APIs on a shared APIM instance, databases on a shared server, containers in a shared storage account.</w:t>
            </w:r>
          </w:p>
        </w:tc>
      </w:tr>
      <w:tr>
        <w:tc>
          <w:tcPr>
            <w:tcW w:type="dxa" w:w="2160"/>
            <w:vAlign w:val="top"/>
          </w:tcPr>
          <w:p>
            <w:pPr>
              <w:spacing w:after="0" w:before="0"/>
              <w:jc w:val="left"/>
            </w:pPr>
            <w:r>
              <w:rPr>
                <w:rFonts w:ascii="Arial" w:hAnsi="Arial"/>
                <w:b/>
                <w:i w:val="0"/>
                <w:color w:val="111111"/>
                <w:sz w:val="18"/>
              </w:rPr>
              <w:t>Regulated environments</w:t>
            </w:r>
          </w:p>
        </w:tc>
        <w:tc>
          <w:tcPr>
            <w:tcW w:type="dxa" w:w="5184"/>
            <w:vAlign w:val="top"/>
          </w:tcPr>
          <w:p>
            <w:pPr>
              <w:spacing w:after="0" w:before="0"/>
              <w:jc w:val="left"/>
            </w:pPr>
            <w:r>
              <w:rPr>
                <w:rFonts w:ascii="Arial" w:hAnsi="Arial"/>
                <w:b w:val="0"/>
                <w:i w:val="0"/>
                <w:color w:val="111111"/>
                <w:sz w:val="18"/>
              </w:rPr>
              <w:t>Compliance often requires separate evidence and controls for access, monitoring, private access, backup, and rotation.</w:t>
            </w:r>
          </w:p>
        </w:tc>
        <w:tc>
          <w:tcPr>
            <w:tcW w:type="dxa" w:w="6408"/>
            <w:vAlign w:val="top"/>
          </w:tcPr>
          <w:p>
            <w:pPr>
              <w:spacing w:after="0" w:before="0"/>
              <w:jc w:val="left"/>
            </w:pPr>
            <w:r>
              <w:rPr>
                <w:rFonts w:ascii="Arial" w:hAnsi="Arial"/>
                <w:b w:val="0"/>
                <w:i w:val="0"/>
                <w:color w:val="111111"/>
                <w:sz w:val="18"/>
              </w:rPr>
              <w:t>Key Vault diagnostics, backup, private-only endpoints, audit retention, and rotation policies.</w:t>
            </w:r>
          </w:p>
        </w:tc>
      </w:tr>
      <w:tr>
        <w:tc>
          <w:tcPr>
            <w:tcW w:type="dxa" w:w="2160"/>
            <w:vAlign w:val="top"/>
            <w:shd w:val="clear" w:color="auto" w:fill="F8FBFE"/>
          </w:tcPr>
          <w:p>
            <w:pPr>
              <w:spacing w:after="0" w:before="0"/>
              <w:jc w:val="left"/>
            </w:pPr>
            <w:r>
              <w:rPr>
                <w:rFonts w:ascii="Arial" w:hAnsi="Arial"/>
                <w:b/>
                <w:i w:val="0"/>
                <w:color w:val="111111"/>
                <w:sz w:val="18"/>
              </w:rPr>
              <w:t>Frequent application releases</w:t>
            </w:r>
          </w:p>
        </w:tc>
        <w:tc>
          <w:tcPr>
            <w:tcW w:type="dxa" w:w="5184"/>
            <w:vAlign w:val="top"/>
            <w:shd w:val="clear" w:color="auto" w:fill="F8FBFE"/>
          </w:tcPr>
          <w:p>
            <w:pPr>
              <w:spacing w:after="0" w:before="0"/>
              <w:jc w:val="left"/>
            </w:pPr>
            <w:r>
              <w:rPr>
                <w:rFonts w:ascii="Arial" w:hAnsi="Arial"/>
                <w:b w:val="0"/>
                <w:i w:val="0"/>
                <w:color w:val="111111"/>
                <w:sz w:val="18"/>
              </w:rPr>
              <w:t>Application teams need to change APIs, secrets, slots, certificates, and child resources without re-planning the full platform resource.</w:t>
            </w:r>
          </w:p>
        </w:tc>
        <w:tc>
          <w:tcPr>
            <w:tcW w:type="dxa" w:w="6408"/>
            <w:vAlign w:val="top"/>
            <w:shd w:val="clear" w:color="auto" w:fill="F8FBFE"/>
          </w:tcPr>
          <w:p>
            <w:pPr>
              <w:spacing w:after="0" w:before="0"/>
              <w:jc w:val="left"/>
            </w:pPr>
            <w:r>
              <w:rPr>
                <w:rFonts w:ascii="Arial" w:hAnsi="Arial"/>
                <w:b w:val="0"/>
                <w:i w:val="0"/>
                <w:color w:val="111111"/>
                <w:sz w:val="18"/>
              </w:rPr>
              <w:t>Function App slots, APIM API releases, Event Grid subscriptions, and secret updates.</w:t>
            </w:r>
          </w:p>
        </w:tc>
      </w:tr>
      <w:tr>
        <w:tc>
          <w:tcPr>
            <w:tcW w:type="dxa" w:w="2160"/>
            <w:vAlign w:val="top"/>
          </w:tcPr>
          <w:p>
            <w:pPr>
              <w:spacing w:after="0" w:before="0"/>
              <w:jc w:val="left"/>
            </w:pPr>
            <w:r>
              <w:rPr>
                <w:rFonts w:ascii="Arial" w:hAnsi="Arial"/>
                <w:b/>
                <w:i w:val="0"/>
                <w:color w:val="111111"/>
                <w:sz w:val="18"/>
              </w:rPr>
              <w:t>Multiple deployment patterns</w:t>
            </w:r>
          </w:p>
        </w:tc>
        <w:tc>
          <w:tcPr>
            <w:tcW w:type="dxa" w:w="5184"/>
            <w:vAlign w:val="top"/>
          </w:tcPr>
          <w:p>
            <w:pPr>
              <w:spacing w:after="0" w:before="0"/>
              <w:jc w:val="left"/>
            </w:pPr>
            <w:r>
              <w:rPr>
                <w:rFonts w:ascii="Arial" w:hAnsi="Arial"/>
                <w:b w:val="0"/>
                <w:i w:val="0"/>
                <w:color w:val="111111"/>
                <w:sz w:val="18"/>
              </w:rPr>
              <w:t>Some use cases need only the core resource; others need the full enterprise stack. Optional companion modules serve both without creating one bloated contract.</w:t>
            </w:r>
          </w:p>
        </w:tc>
        <w:tc>
          <w:tcPr>
            <w:tcW w:type="dxa" w:w="6408"/>
            <w:vAlign w:val="top"/>
          </w:tcPr>
          <w:p>
            <w:pPr>
              <w:spacing w:after="0" w:before="0"/>
              <w:jc w:val="left"/>
            </w:pPr>
            <w:r>
              <w:rPr>
                <w:rFonts w:ascii="Arial" w:hAnsi="Arial"/>
                <w:b w:val="0"/>
                <w:i w:val="0"/>
                <w:color w:val="111111"/>
                <w:sz w:val="18"/>
              </w:rPr>
              <w:t>Public vs private Function App, internal vs external APIM, simple vs enterprise Key Vault.</w:t>
            </w:r>
          </w:p>
        </w:tc>
      </w:tr>
    </w:tbl>
    <w:p/>
    <w:p>
      <w:pPr>
        <w:pStyle w:val="Heading1"/>
        <w:spacing w:before="160" w:after="80"/>
      </w:pPr>
      <w:r>
        <w:rPr>
          <w:rFonts w:ascii="Arial" w:hAnsi="Arial"/>
          <w:b w:val="0"/>
          <w:i w:val="0"/>
          <w:color w:val="111111"/>
          <w:sz w:val="21"/>
        </w:rPr>
        <w:t>How To Explain The Recommendation In One Paragraph</w:t>
      </w:r>
    </w:p>
    <w:p>
      <w:pPr>
        <w:spacing w:after="120"/>
      </w:pPr>
      <w:r>
        <w:rPr>
          <w:rFonts w:ascii="Arial" w:hAnsi="Arial"/>
          <w:b w:val="0"/>
          <w:i w:val="0"/>
          <w:color w:val="111111"/>
          <w:sz w:val="21"/>
        </w:rPr>
        <w:t>The recommended module breakdown is necessary because enterprise Azure services rarely have one owner, one approval path, or one deployment cadence. Base resources such as Key Vault, APIM, Storage, App Gateway, Synapse, and compute instances should stay small and stable, while access, monitoring, private connectivity, child objects, and workload-specific extensions should be deployed as separate companion modules. That separation is usually required by centralized networking, security controls, shared platform services, audit obligations, frequent application releases, and the need to reuse the same base module across very different application scenarios without causing drift or forcing manual stitching.</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35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355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355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