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color w:val="1A1A1A"/>
          <w:sz w:val="38"/>
          <w:szCs w:val="38"/>
        </w:rPr>
        <w:t xml:space="preserve">Decision Provenance</w:t>
      </w:r>
    </w:p>
    <w:p>
      <w:pPr>
        <w:spacing w:before="20" w:after="120"/>
      </w:pPr>
      <w:r>
        <w:rPr>
          <w:rFonts w:ascii="Arial" w:cs="Arial" w:eastAsia="Arial" w:hAnsi="Arial"/>
          <w:i/>
          <w:iCs/>
          <w:color w:val="6B6B6B"/>
          <w:sz w:val="21"/>
          <w:szCs w:val="21"/>
        </w:rPr>
        <w:t xml:space="preserve">Proving what an automated system decided, when it decided it, and why — before anyone asks.</w:t>
      </w:r>
    </w:p>
    <w:p>
      <w:pPr>
        <w:spacing w:before="200" w:after="80"/>
      </w:pPr>
      <w:r>
        <w:rPr>
          <w:rFonts w:ascii="Arial" w:cs="Arial" w:eastAsia="Arial" w:hAnsi="Arial"/>
          <w:b/>
          <w:bCs/>
          <w:caps/>
          <w:color w:val="1B4DDB"/>
          <w:sz w:val="20"/>
          <w:szCs w:val="20"/>
        </w:rPr>
        <w:t xml:space="preserve">1. THE AUTOMATED DECISION</w:t>
      </w:r>
    </w:p>
    <w:p>
      <w:pPr>
        <w:spacing w:before="40" w:after="40"/>
      </w:pPr>
      <w:r>
        <w:rPr>
          <w:rFonts w:ascii="Arial" w:cs="Arial" w:eastAsia="Arial" w:hAnsi="Arial"/>
          <w:b w:val="false"/>
          <w:bCs w:val="false"/>
          <w:i w:val="false"/>
          <w:iCs w:val="false"/>
          <w:color w:val="2C2C2C"/>
          <w:sz w:val="21"/>
          <w:szCs w:val="21"/>
        </w:rPr>
        <w:t xml:space="preserve">A credit-decisioning AI evaluates a loan application in real time. Within 400 milliseconds, it reaches a verdict: deny. The model weighed income stability, debt ratio, and behavioral signals from prior accounts. No human was involved. The applicant receives a rejection notice within minutes. Their credit report is not affected, but the door is closed.</w:t>
      </w:r>
    </w:p>
    <w:p>
      <w:pPr>
        <w:spacing w:before="200" w:after="80"/>
      </w:pPr>
      <w:r>
        <w:rPr>
          <w:rFonts w:ascii="Arial" w:cs="Arial" w:eastAsia="Arial" w:hAnsi="Arial"/>
          <w:b/>
          <w:bCs/>
          <w:caps/>
          <w:color w:val="1B4DDB"/>
          <w:sz w:val="20"/>
          <w:szCs w:val="20"/>
        </w:rPr>
        <w:t xml:space="preserve">2. THE PROBLEM LATER</w:t>
      </w:r>
    </w:p>
    <w:p>
      <w:pPr>
        <w:spacing w:before="40" w:after="40"/>
      </w:pPr>
      <w:r>
        <w:rPr>
          <w:rFonts w:ascii="Arial" w:cs="Arial" w:eastAsia="Arial" w:hAnsi="Arial"/>
          <w:b w:val="false"/>
          <w:bCs w:val="false"/>
          <w:i w:val="false"/>
          <w:iCs w:val="false"/>
          <w:color w:val="2C2C2C"/>
          <w:sz w:val="21"/>
          <w:szCs w:val="21"/>
        </w:rPr>
        <w:t xml:space="preserve">Seven months later, the applicant files a complaint. They allege the decision was biased — that the system penalized them for a gap in employment history that was caused by a medical event, not by financial irresponsibility. A regulator opens an inquiry. The institution needs to show exactly what the system saw, exactly when it saw it, and exactly what it concluded. Today, they cannot.</w:t>
      </w:r>
    </w:p>
    <w:p>
      <w:pPr>
        <w:spacing w:before="200" w:after="80"/>
      </w:pPr>
      <w:r>
        <w:rPr>
          <w:rFonts w:ascii="Arial" w:cs="Arial" w:eastAsia="Arial" w:hAnsi="Arial"/>
          <w:b/>
          <w:bCs/>
          <w:caps/>
          <w:color w:val="1B4DDB"/>
          <w:sz w:val="20"/>
          <w:szCs w:val="20"/>
        </w:rPr>
        <w:t xml:space="preserve">3. WHAT USUALLY HAPPENS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9A" w:sz="4"/>
              <w:left w:val="single" w:color="E8A09A" w:sz="4"/>
              <w:bottom w:val="single" w:color="E8A09A" w:sz="4"/>
              <w:right w:val="single" w:color="E8A09A" w:sz="4"/>
            </w:tcBorders>
            <w:shd w:fill="FDF0EF" w:val="clear"/>
            <w:tcMar>
              <w:top w:type="dxa" w:w="100"/>
              <w:left w:type="dxa" w:w="180"/>
              <w:bottom w:type="dxa" w:w="100"/>
              <w:right w:type="dxa" w:w="180"/>
            </w:tcMar>
          </w:tcPr>
          <w:p>
            <w:pPr>
              <w:spacing w:before="0" w:after="0"/>
            </w:pPr>
            <w:r>
              <w:rPr>
                <w:rFonts w:ascii="Arial" w:cs="Arial" w:eastAsia="Arial" w:hAnsi="Arial"/>
                <w:b/>
                <w:bCs/>
                <w:color w:val="C0392B"/>
                <w:sz w:val="20"/>
                <w:szCs w:val="20"/>
              </w:rPr>
              <w:t xml:space="preserve">Reality: </w:t>
            </w:r>
            <w:r>
              <w:rPr>
                <w:rFonts w:ascii="Arial" w:cs="Arial" w:eastAsia="Arial" w:hAnsi="Arial"/>
                <w:i w:val="false"/>
                <w:iCs w:val="false"/>
                <w:color w:val="7A2E24"/>
                <w:sz w:val="20"/>
                <w:szCs w:val="20"/>
              </w:rPr>
              <w:t xml:space="preserve">Logs exist, but they are incomplete. The model version that made the decision may have been retrained since then. The input data has been overwritten or transformed by downstream processes. There is no single source of truth — only fragments, assumptions, and arguments about what probably happened. Disputes become negotiations. Regulators receive best-guesses dressed up as evidence. The institution defends itself with process documentation, not proof.</w:t>
            </w:r>
          </w:p>
        </w:tc>
      </w:tr>
    </w:tbl>
    <w:p>
      <w:pPr>
        <w:spacing w:before="200" w:after="80"/>
      </w:pPr>
      <w:r>
        <w:rPr>
          <w:rFonts w:ascii="Arial" w:cs="Arial" w:eastAsia="Arial" w:hAnsi="Arial"/>
          <w:b/>
          <w:bCs/>
          <w:caps/>
          <w:color w:val="1B4DDB"/>
          <w:sz w:val="20"/>
          <w:szCs w:val="20"/>
        </w:rPr>
        <w:t xml:space="preserve">4. WHAT HAPPENS WITH DECISION PROVENANCE</w:t>
      </w:r>
    </w:p>
    <w:p>
      <w:pPr>
        <w:spacing w:before="40" w:after="30"/>
      </w:pPr>
      <w:r>
        <w:rPr>
          <w:rFonts w:ascii="Arial" w:cs="Arial" w:eastAsia="Arial" w:hAnsi="Arial"/>
          <w:b w:val="false"/>
          <w:bCs w:val="false"/>
          <w:i w:val="false"/>
          <w:iCs w:val="false"/>
          <w:color w:val="2C2C2C"/>
          <w:sz w:val="21"/>
          <w:szCs w:val="21"/>
        </w:rPr>
        <w:t xml:space="preserve">At the exact moment the decision is made, every input, every signal, every output, and the identity of the model version are captured as a single event. That event is sealed. It cannot be edited, reordered, or deleted.</w:t>
      </w:r>
    </w:p>
    <w:p>
      <w:pPr>
        <w:spacing w:before="40" w:after="30"/>
      </w:pPr>
      <w:r>
        <w:rPr>
          <w:rFonts w:ascii="Arial" w:cs="Arial" w:eastAsia="Arial" w:hAnsi="Arial"/>
          <w:b w:val="false"/>
          <w:bCs w:val="false"/>
          <w:i w:val="false"/>
          <w:iCs w:val="false"/>
          <w:color w:val="2C2C2C"/>
          <w:sz w:val="21"/>
          <w:szCs w:val="21"/>
        </w:rPr>
        <w:t xml:space="preserve">Each event links to the one before it. The chain is continuous. A break anywhere is immediately visible — not later, during an audit, but at the moment it happens.</w:t>
      </w:r>
    </w:p>
    <w:p>
      <w:pPr>
        <w:spacing w:before="40" w:after="30"/>
      </w:pPr>
      <w:r>
        <w:rPr>
          <w:rFonts w:ascii="Arial" w:cs="Arial" w:eastAsia="Arial" w:hAnsi="Arial"/>
          <w:b w:val="false"/>
          <w:bCs w:val="false"/>
          <w:i w:val="false"/>
          <w:iCs w:val="false"/>
          <w:color w:val="2C2C2C"/>
          <w:sz w:val="21"/>
          <w:szCs w:val="21"/>
        </w:rPr>
        <w:t xml:space="preserve">An independent party — or an independent process — can verify the chain without access to the original system. They do not need to trust the institution. They need only the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C9A8" w:sz="4"/>
              <w:left w:val="single" w:color="8FC9A8" w:sz="4"/>
              <w:bottom w:val="single" w:color="8FC9A8" w:sz="4"/>
              <w:right w:val="single" w:color="8FC9A8" w:sz="4"/>
            </w:tcBorders>
            <w:shd w:fill="EEF7F0" w:val="clear"/>
            <w:tcMar>
              <w:top w:type="dxa" w:w="100"/>
              <w:left w:type="dxa" w:w="180"/>
              <w:bottom w:type="dxa" w:w="100"/>
              <w:right w:type="dxa" w:w="180"/>
            </w:tcMar>
          </w:tcPr>
          <w:p>
            <w:pPr>
              <w:spacing w:before="0" w:after="0"/>
            </w:pPr>
            <w:r>
              <w:rPr>
                <w:rFonts w:ascii="Arial" w:cs="Arial" w:eastAsia="Arial" w:hAnsi="Arial"/>
                <w:b/>
                <w:bCs/>
                <w:color w:val="1E8449"/>
                <w:sz w:val="20"/>
                <w:szCs w:val="20"/>
              </w:rPr>
              <w:t xml:space="preserve">Result: </w:t>
            </w:r>
            <w:r>
              <w:rPr>
                <w:rFonts w:ascii="Arial" w:cs="Arial" w:eastAsia="Arial" w:hAnsi="Arial"/>
                <w:i w:val="false"/>
                <w:iCs w:val="false"/>
                <w:color w:val="145A32"/>
                <w:sz w:val="20"/>
                <w:szCs w:val="20"/>
              </w:rPr>
              <w:t xml:space="preserve">Seven months later, when the complaint arrives, the institution does not reconstruct. It replays. The exact decision, with the exact inputs, at the exact time, in the exact sequence. Here is what can be proven: what was known, what was decided, and when.</w:t>
            </w:r>
          </w:p>
        </w:tc>
      </w:tr>
    </w:tbl>
    <w:p>
      <w:pPr>
        <w:spacing w:before="200" w:after="80"/>
      </w:pPr>
      <w:r>
        <w:rPr>
          <w:rFonts w:ascii="Arial" w:cs="Arial" w:eastAsia="Arial" w:hAnsi="Arial"/>
          <w:b/>
          <w:bCs/>
          <w:caps/>
          <w:color w:val="1B4DDB"/>
          <w:sz w:val="20"/>
          <w:szCs w:val="20"/>
        </w:rPr>
        <w:t xml:space="preserve">5. WHY THIS CHANGES OUTCOMES</w:t>
      </w:r>
    </w:p>
    <w:p>
      <w:pPr>
        <w:spacing w:before="40" w:after="50"/>
      </w:pPr>
      <w:r>
        <w:rPr>
          <w:rFonts w:ascii="Arial" w:cs="Arial" w:eastAsia="Arial" w:hAnsi="Arial"/>
          <w:b w:val="false"/>
          <w:bCs w:val="false"/>
          <w:i w:val="false"/>
          <w:iCs w:val="false"/>
          <w:color w:val="2C2C2C"/>
          <w:sz w:val="21"/>
          <w:szCs w:val="21"/>
        </w:rPr>
        <w:t xml:space="preserve">This is not about better logging. It is about shifting what is possible when an automated decision is challenged.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DDB" w:sz="1"/>
              <w:left w:val="none" w:color="FFFFFF" w:sz="0"/>
              <w:bottom w:val="single" w:color="1B4DDB" w:sz="6"/>
              <w:right w:val="none" w:color="FFFFFF" w:sz="0"/>
            </w:tcBorders>
            <w:shd w:fill="FFFFFF" w:val="clear"/>
            <w:tcMar>
              <w:top w:type="dxa" w:w="60"/>
              <w:left w:type="dxa" w:w="100"/>
              <w:bottom w:type="dxa" w:w="60"/>
              <w:right w:type="dxa" w:w="100"/>
            </w:tcMar>
          </w:tcPr>
          <w:p>
            <w:pPr>
              <w:spacing w:before="0" w:after="0"/>
            </w:pPr>
            <w:r>
              <w:rPr>
                <w:rFonts w:ascii="Arial" w:cs="Arial" w:eastAsia="Arial" w:hAnsi="Arial"/>
                <w:b/>
                <w:bCs/>
                <w:color w:val="1B4DDB"/>
                <w:sz w:val="20"/>
                <w:szCs w:val="20"/>
              </w:rPr>
              <w:t xml:space="preserve">Disputes</w:t>
            </w:r>
          </w:p>
        </w:tc>
        <w:tc>
          <w:tcPr>
            <w:tcW w:type="dxa" w:w="2340"/>
            <w:tcBorders>
              <w:top w:val="single" w:color="1B4DDB" w:sz="1"/>
              <w:left w:val="none" w:color="FFFFFF" w:sz="0"/>
              <w:bottom w:val="single" w:color="1B4DDB" w:sz="6"/>
              <w:right w:val="none" w:color="FFFFFF" w:sz="0"/>
            </w:tcBorders>
            <w:shd w:fill="FFFFFF" w:val="clear"/>
            <w:tcMar>
              <w:top w:type="dxa" w:w="60"/>
              <w:left w:type="dxa" w:w="100"/>
              <w:bottom w:type="dxa" w:w="60"/>
              <w:right w:type="dxa" w:w="100"/>
            </w:tcMar>
          </w:tcPr>
          <w:p>
            <w:pPr>
              <w:spacing w:before="0" w:after="0"/>
            </w:pPr>
            <w:r>
              <w:rPr>
                <w:rFonts w:ascii="Arial" w:cs="Arial" w:eastAsia="Arial" w:hAnsi="Arial"/>
                <w:b/>
                <w:bCs/>
                <w:color w:val="1B4DDB"/>
                <w:sz w:val="20"/>
                <w:szCs w:val="20"/>
              </w:rPr>
              <w:t xml:space="preserve">Regulators</w:t>
            </w:r>
          </w:p>
        </w:tc>
        <w:tc>
          <w:tcPr>
            <w:tcW w:type="dxa" w:w="2340"/>
            <w:tcBorders>
              <w:top w:val="single" w:color="1B4DDB" w:sz="1"/>
              <w:left w:val="none" w:color="FFFFFF" w:sz="0"/>
              <w:bottom w:val="single" w:color="1B4DDB" w:sz="6"/>
              <w:right w:val="none" w:color="FFFFFF" w:sz="0"/>
            </w:tcBorders>
            <w:shd w:fill="FFFFFF" w:val="clear"/>
            <w:tcMar>
              <w:top w:type="dxa" w:w="60"/>
              <w:left w:type="dxa" w:w="100"/>
              <w:bottom w:type="dxa" w:w="60"/>
              <w:right w:type="dxa" w:w="100"/>
            </w:tcMar>
          </w:tcPr>
          <w:p>
            <w:pPr>
              <w:spacing w:before="0" w:after="0"/>
            </w:pPr>
            <w:r>
              <w:rPr>
                <w:rFonts w:ascii="Arial" w:cs="Arial" w:eastAsia="Arial" w:hAnsi="Arial"/>
                <w:b/>
                <w:bCs/>
                <w:color w:val="1B4DDB"/>
                <w:sz w:val="20"/>
                <w:szCs w:val="20"/>
              </w:rPr>
              <w:t xml:space="preserve">Organizations</w:t>
            </w:r>
          </w:p>
        </w:tc>
        <w:tc>
          <w:tcPr>
            <w:tcW w:type="dxa" w:w="2340"/>
            <w:tcBorders>
              <w:top w:val="single" w:color="1B4DDB" w:sz="1"/>
              <w:left w:val="none" w:color="FFFFFF" w:sz="0"/>
              <w:bottom w:val="single" w:color="1B4DDB" w:sz="6"/>
              <w:right w:val="none" w:color="FFFFFF" w:sz="0"/>
            </w:tcBorders>
            <w:shd w:fill="FFFFFF" w:val="clear"/>
            <w:tcMar>
              <w:top w:type="dxa" w:w="60"/>
              <w:left w:type="dxa" w:w="100"/>
              <w:bottom w:type="dxa" w:w="60"/>
              <w:right w:type="dxa" w:w="100"/>
            </w:tcMar>
          </w:tcPr>
          <w:p>
            <w:pPr>
              <w:spacing w:before="0" w:after="0"/>
            </w:pPr>
            <w:r>
              <w:rPr>
                <w:rFonts w:ascii="Arial" w:cs="Arial" w:eastAsia="Arial" w:hAnsi="Arial"/>
                <w:b/>
                <w:bCs/>
                <w:color w:val="1B4DDB"/>
                <w:sz w:val="20"/>
                <w:szCs w:val="20"/>
              </w:rPr>
              <w:t xml:space="preserve">AI at Scale</w:t>
            </w:r>
          </w:p>
        </w:tc>
      </w:tr>
      <w:tr>
        <w:tc>
          <w:tcPr>
            <w:tcW w:type="dxa" w:w="2340"/>
            <w:tcBorders>
              <w:top w:val="none" w:color="FFFFFF" w:sz="0"/>
              <w:left w:val="none" w:color="FFFFFF" w:sz="0"/>
              <w:bottom w:val="single" w:color="DEDEDE" w:sz="1"/>
              <w:right w:val="none" w:color="FFFFFF" w:sz="0"/>
            </w:tcBorders>
            <w:shd w:fill="F4F6F9" w:val="clear"/>
            <w:tcMar>
              <w:top w:type="dxa" w:w="100"/>
              <w:left w:type="dxa" w:w="100"/>
              <w:bottom w:type="dxa" w:w="100"/>
              <w:right w:type="dxa" w:w="100"/>
            </w:tcMar>
          </w:tcPr>
          <w:p>
            <w:pPr>
              <w:spacing w:before="0" w:after="0"/>
            </w:pPr>
            <w:r>
              <w:rPr>
                <w:rFonts w:ascii="Arial" w:cs="Arial" w:eastAsia="Arial" w:hAnsi="Arial"/>
                <w:color w:val="2C2C2C"/>
                <w:sz w:val="19"/>
                <w:szCs w:val="19"/>
              </w:rPr>
              <w:t xml:space="preserve">End with evidence, not argument. Resolution time drops because the record is unambiguous.</w:t>
            </w:r>
          </w:p>
        </w:tc>
        <w:tc>
          <w:tcPr>
            <w:tcW w:type="dxa" w:w="2340"/>
            <w:tcBorders>
              <w:top w:val="none" w:color="FFFFFF" w:sz="0"/>
              <w:left w:val="none" w:color="FFFFFF" w:sz="0"/>
              <w:bottom w:val="single" w:color="DEDEDE" w:sz="1"/>
              <w:right w:val="none" w:color="FFFFFF" w:sz="0"/>
            </w:tcBorders>
            <w:shd w:fill="F4F6F9" w:val="clear"/>
            <w:tcMar>
              <w:top w:type="dxa" w:w="100"/>
              <w:left w:type="dxa" w:w="100"/>
              <w:bottom w:type="dxa" w:w="100"/>
              <w:right w:type="dxa" w:w="100"/>
            </w:tcMar>
          </w:tcPr>
          <w:p>
            <w:pPr>
              <w:spacing w:before="0" w:after="0"/>
            </w:pPr>
            <w:r>
              <w:rPr>
                <w:rFonts w:ascii="Arial" w:cs="Arial" w:eastAsia="Arial" w:hAnsi="Arial"/>
                <w:color w:val="2C2C2C"/>
                <w:sz w:val="19"/>
                <w:szCs w:val="19"/>
              </w:rPr>
              <w:t xml:space="preserve">Get records that meet evidentiary standards without asking the institution to reconstruct from memory.</w:t>
            </w:r>
          </w:p>
        </w:tc>
        <w:tc>
          <w:tcPr>
            <w:tcW w:type="dxa" w:w="2340"/>
            <w:tcBorders>
              <w:top w:val="none" w:color="FFFFFF" w:sz="0"/>
              <w:left w:val="none" w:color="FFFFFF" w:sz="0"/>
              <w:bottom w:val="single" w:color="DEDEDE" w:sz="1"/>
              <w:right w:val="none" w:color="FFFFFF" w:sz="0"/>
            </w:tcBorders>
            <w:shd w:fill="F4F6F9" w:val="clear"/>
            <w:tcMar>
              <w:top w:type="dxa" w:w="100"/>
              <w:left w:type="dxa" w:w="100"/>
              <w:bottom w:type="dxa" w:w="100"/>
              <w:right w:type="dxa" w:w="100"/>
            </w:tcMar>
          </w:tcPr>
          <w:p>
            <w:pPr>
              <w:spacing w:before="0" w:after="0"/>
            </w:pPr>
            <w:r>
              <w:rPr>
                <w:rFonts w:ascii="Arial" w:cs="Arial" w:eastAsia="Arial" w:hAnsi="Arial"/>
                <w:color w:val="2C2C2C"/>
                <w:sz w:val="19"/>
                <w:szCs w:val="19"/>
              </w:rPr>
              <w:t xml:space="preserve">Can defend automated decisions with proof. Liability shifts from assumption to documentation.</w:t>
            </w:r>
          </w:p>
        </w:tc>
        <w:tc>
          <w:tcPr>
            <w:tcW w:type="dxa" w:w="2340"/>
            <w:tcBorders>
              <w:top w:val="none" w:color="FFFFFF" w:sz="0"/>
              <w:left w:val="none" w:color="FFFFFF" w:sz="0"/>
              <w:bottom w:val="single" w:color="DEDEDE" w:sz="1"/>
              <w:right w:val="none" w:color="FFFFFF" w:sz="0"/>
            </w:tcBorders>
            <w:shd w:fill="F4F6F9" w:val="clear"/>
            <w:tcMar>
              <w:top w:type="dxa" w:w="100"/>
              <w:left w:type="dxa" w:w="100"/>
              <w:bottom w:type="dxa" w:w="100"/>
              <w:right w:type="dxa" w:w="100"/>
            </w:tcMar>
          </w:tcPr>
          <w:p>
            <w:pPr>
              <w:spacing w:before="0" w:after="0"/>
            </w:pPr>
            <w:r>
              <w:rPr>
                <w:rFonts w:ascii="Arial" w:cs="Arial" w:eastAsia="Arial" w:hAnsi="Arial"/>
                <w:color w:val="2C2C2C"/>
                <w:sz w:val="19"/>
                <w:szCs w:val="19"/>
              </w:rPr>
              <w:t xml:space="preserve">Become deployable in regulated industries. Provenance is the missing prerequisite, not performance.</w:t>
            </w:r>
          </w:p>
        </w:tc>
      </w:tr>
    </w:tbl>
    <w:p>
      <w:pPr>
        <w:spacing w:before="180" w:after="0"/>
        <w:jc w:val="center"/>
      </w:pPr>
      <w:r>
        <w:rPr>
          <w:rFonts w:ascii="Arial" w:cs="Arial" w:eastAsia="Arial" w:hAnsi="Arial"/>
          <w:i/>
          <w:iCs/>
          <w:color w:val="6B6B6B"/>
          <w:sz w:val="20"/>
          <w:szCs w:val="20"/>
        </w:rPr>
        <w:t xml:space="preserve">Automated systems are already making consequential decisions. The only question is whether those decisions can be proven.</w:t>
      </w:r>
    </w:p>
    <w:sectPr>
      <w:headerReference w:type="default" r:id="rId6"/>
      <w:footerReference w:type="default" r:id="rId7"/>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 </w:t>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aps/>
        <w:color w:val="6B6B6B"/>
        <w:sz w:val="16"/>
        <w:szCs w:val="16"/>
      </w:rPr>
      <w:t xml:space="preserve">DECISION PROVENANCE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2026-01-31T21:53:50.414Z</dcterms:created>
  <dcterms:modified xsi:type="dcterms:W3CDTF">2026-01-31T21:53:50.415Z</dcterms:modified>
</cp:coreProperties>
</file>

<file path=docProps/custom.xml><?xml version="1.0" encoding="utf-8"?>
<Properties xmlns="http://schemas.openxmlformats.org/officeDocument/2006/custom-properties" xmlns:vt="http://schemas.openxmlformats.org/officeDocument/2006/docPropsVTypes"/>
</file>