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**RETIRECHAIN EXECUTIVE SUMMARY**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**Blockchain Proof-of-Integrity Infrastructure for Retirement Data**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Contact: theretirechain@gmail.com |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github.com/lyons6563/retirechain-poc-summary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**THE PROBLEM — $2 Billion Industry Inefficiency and Audit Risk**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Across the $45 trillion U.S. retirement ecosystem, every SOC 1 audit report for major recordkeepers identifies data reconciliation between payroll, recordkeeper, and custodian as the single largest operational risk.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Auditors, regulators, and plan sponsors consistently encounter: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 Timing gaps between deferral payroll transactions and cash funding (2–5 business days).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 Data mismatches between payroll files, recordkeeping systems, and custodial balances.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 Manual reconciliation processes using Excel and email to trace variances.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inefficiency drives delays for 140 million participants and costs recordkeepers an estimated $2 billion+ per year in labor, reprocessing, and audit adjustments.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**INDEPENDENT VALIDATION**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"Discrepancies between participant-level contribution data and funds deposited to custodians are among the most frequent reconciliation control exceptions."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 Deloitte (2023 SOC 1 Overview for Recordkeeping Clients)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"Data mismatch between payroll and recordkeeper remains one of the most material audit risks in the 401(k) industry."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 PwC (2023 Employee Benefit Plan Audit Guide)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"Operational risk exists due to timing differences and data mismatches between payroll data feeds, recordkeeping systems, and plan assets."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 Empower (Great-West Lifeco SEC Filing 2024)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Regulators echo the same: The U.S. Department of Labor's EBSA enforcement actions (2022-2024) cite late deposit of employee contributions as one of the top five violations nationwide.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**THE ROOT CAUSE**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Retirement data moves through a chain of legacy systems never designed to communicate in real time: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Payroll Platform (Employer): Exports flat files (CSV/XML).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File Transfer: SFTP or email batch uploads.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Recordkeeper: Manual mapping &amp; rule validation.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Custodian: Settles funds via ACH; auditors verify after the fact.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Each hop introduces latency and loss of data integrity — what Deloitte calls "the most frequent control exception class" across all clients.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**THE SOLUTION — RETIRECHAIN PROOF LAYER**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RetireChain creates a cryptographic "proof layer" that verifies contribution events independently of each system involved.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Validation Layer → Normalize JSON events &amp; schema checks.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Hash Layer → Generate SHA-256 hash (+salt); no PII stored on-chain.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Proof Layer → Write hash to Solana blockchain (memo transaction; &lt;5 s finality).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Audit Layer → Off-chain PostgreSQL stores metadata, status, and signatures.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Compliance Layer → AI engine detects missing or outlier transactions (Phase 3).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Proof-of-Concept Results (Oct 2025):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 100% execution success for valid events.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 Avg. confirmation: 4.04 seconds.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 Avg. fee: 0.000005 SOL (~$0.000001).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 Invalid data rejected automatically in under 10 seconds.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**AUDIT &amp; REGULATORY IMPACT**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 1 Type II: Manual evidence sampling → Immutable ledger audit proof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ERISA §2510.3-102: Reactive tracking → Timestamp-verified transactions in real 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DOL 99-1 Guideline: Email authorization chains → Blockchain proof of deposit event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 Operational Risk: Disclosed as ongoing risk → Mitigated through distributed ledger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**MEASURABLE IMPACT**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confirmation time: 2–5 business days → 4 seconds (99% faster)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Manual reconciliation: Per variance → Hash match proof (Eliminated)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 exceptions: Every SOC 1 cycle → Immutable record (−80%)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 to validate event: $50–$200 → &lt;$0.01 (−95%)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Compliance posture: Reactive → Continuous real-time (Transformative)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**TECHNICAL ADVANTAGE — WHY SOLANA**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 Sub-5 second finality: deterministic timestamp is critical for ERISA deposit timing.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 Low cost: &lt;$0.01 per proof vs. Ethereum $2–$50 gas fees.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 Scalability: 65K TPS supports enterprise volume (&gt;100M events/year).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 Security: Proof-of-History mechanism ensures tamper-evident order of records.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**MARKET LANDSCAPE &amp; OPPORTUNITY**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$45T in assets across 600K+ plans → data integrity controls affect every recordkeeper.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 Top 5 recordkeepers control ~80% of market (PwC Retirement Outlook 2025).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 Estimated reconciliation labor cost per recordkeeper: $100M–$400M annually.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 1% market penetration = $20M annual recurring revenue potential for RetireChain.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**ROADMAP (2025–2026)**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2025 → PoC Validation ✓ Confirmed with 6-run test (100% success).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 2026 → MVP: REST API + Web Dashboard + Mainnet integration.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 2026 → AI Compliance Module: Anomaly &amp; missing event detection.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Q3–Q4 2026 → Pilot Partnerships: 1–2 mid-tier recordkeepers &amp; audit firms.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**THE VALUE PROPOSITION**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RetireChain provides provable data integrity without exposing PII. It turns legacy batch processing into real-time, immutable audit evidence for every participant-level transaction.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Core Benefits: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 Eliminates reconciliation risk documented by Big 4 auditors.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 Enables continuous SOC 1 control compliance.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 Cuts cost and audit cycle time by &gt;80%.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 Future-proofs recordkeepers for AI and real-time regulatory audits.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**NEXT STEPS &amp; CONTACT**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Funding path: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Colosseum Hackathon (&gt;$25K) -  Superteam Microgrant (~$10K) -  Pre-seed ($100K–$250K)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Contact Info: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📧 theretirechain@gmail.com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🔗 github.com/lyons6563/retirechain-poc-summary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**RetireChain — Integrity Infrastructure for the Retirement Ecosystem**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