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6EE8F" w14:textId="77777777" w:rsidR="00D666FF" w:rsidRDefault="00D666FF" w:rsidP="00D666FF">
      <w:pPr>
        <w:spacing w:line="240" w:lineRule="auto"/>
      </w:pPr>
    </w:p>
    <w:p w14:paraId="238ADAF0" w14:textId="77777777" w:rsidR="00D666FF" w:rsidRPr="00D666FF" w:rsidRDefault="00D666FF" w:rsidP="00D666FF">
      <w:pPr>
        <w:spacing w:line="240" w:lineRule="auto"/>
        <w:rPr>
          <w:highlight w:val="red"/>
        </w:rPr>
      </w:pPr>
      <w:r w:rsidRPr="00D666FF">
        <w:rPr>
          <w:highlight w:val="red"/>
        </w:rPr>
        <w:t>Opening paragraph</w:t>
      </w:r>
    </w:p>
    <w:p w14:paraId="20FDEDC0" w14:textId="77777777" w:rsidR="00D666FF" w:rsidRPr="007D589C" w:rsidRDefault="00D666FF" w:rsidP="00D666FF">
      <w:pPr>
        <w:spacing w:line="240" w:lineRule="auto"/>
        <w:ind w:firstLine="720"/>
        <w:rPr>
          <w:rFonts w:ascii="Times New Roman" w:hAnsi="Times New Roman" w:cs="Times New Roman"/>
          <w:sz w:val="24"/>
          <w:szCs w:val="24"/>
        </w:rPr>
      </w:pPr>
      <w:r w:rsidRPr="00D666FF">
        <w:rPr>
          <w:rFonts w:ascii="Times New Roman" w:hAnsi="Times New Roman" w:cs="Times New Roman"/>
          <w:sz w:val="24"/>
          <w:szCs w:val="24"/>
          <w:highlight w:val="red"/>
        </w:rPr>
        <w:t xml:space="preserve">Bethany is giving testimony in a trial by jury for assault. During examination, the court learns Bethany is a 32-year-old woman, she is the victim, and she has an intellectual disability (ID). This adds up, the observers think, as Bethany acts awkward, sounds robotic, and appears anxious and uncomfortable over and above what would be expected of a typical witness. But will the fact Bethany </w:t>
      </w:r>
      <w:proofErr w:type="gramStart"/>
      <w:r w:rsidRPr="00D666FF">
        <w:rPr>
          <w:rFonts w:ascii="Times New Roman" w:hAnsi="Times New Roman" w:cs="Times New Roman"/>
          <w:sz w:val="24"/>
          <w:szCs w:val="24"/>
          <w:highlight w:val="red"/>
        </w:rPr>
        <w:t>has</w:t>
      </w:r>
      <w:proofErr w:type="gramEnd"/>
      <w:r w:rsidRPr="00D666FF">
        <w:rPr>
          <w:rFonts w:ascii="Times New Roman" w:hAnsi="Times New Roman" w:cs="Times New Roman"/>
          <w:sz w:val="24"/>
          <w:szCs w:val="24"/>
          <w:highlight w:val="red"/>
        </w:rPr>
        <w:t xml:space="preserve"> an ID cloud the jury’s perceptions of her? Does her competency now appear dubious? Is her memory of the event unreliable? Will she flounder under cross-examination? Imagine a child witness with an ID is called, will their testimony work for or against a just verdict for Bethany? Afterall, the jurors’ evaluations of the testimony they hear is pivotal to their verdict. If prejudices against adults and children with ID’s effects juries, justice might not occur where it should.</w:t>
      </w:r>
    </w:p>
    <w:p w14:paraId="489699F1" w14:textId="77777777" w:rsidR="00D666FF" w:rsidRDefault="00D666FF" w:rsidP="00D666FF">
      <w:pPr>
        <w:spacing w:line="240" w:lineRule="auto"/>
      </w:pPr>
    </w:p>
    <w:p w14:paraId="179CC927" w14:textId="77777777" w:rsidR="00D666FF" w:rsidRPr="00D666FF" w:rsidRDefault="00D666FF" w:rsidP="00D666FF">
      <w:pPr>
        <w:spacing w:line="240" w:lineRule="auto"/>
        <w:rPr>
          <w:highlight w:val="red"/>
        </w:rPr>
      </w:pPr>
      <w:r w:rsidRPr="00D666FF">
        <w:rPr>
          <w:highlight w:val="red"/>
        </w:rPr>
        <w:t>Debris:</w:t>
      </w:r>
    </w:p>
    <w:p w14:paraId="74DDAB9D" w14:textId="77777777" w:rsidR="00D666FF" w:rsidRPr="00D666FF" w:rsidRDefault="00D666FF" w:rsidP="00D666FF">
      <w:pPr>
        <w:spacing w:line="240" w:lineRule="auto"/>
        <w:rPr>
          <w:highlight w:val="red"/>
        </w:rPr>
      </w:pPr>
      <w:r w:rsidRPr="00D666FF">
        <w:rPr>
          <w:highlight w:val="red"/>
        </w:rPr>
        <w:t>Footnote 1 after first PWID:</w:t>
      </w:r>
    </w:p>
    <w:p w14:paraId="770DAD0E" w14:textId="77777777" w:rsidR="00D666FF" w:rsidRPr="00D666FF" w:rsidRDefault="00D666FF" w:rsidP="00D666FF">
      <w:pPr>
        <w:spacing w:line="240" w:lineRule="auto"/>
        <w:rPr>
          <w:rFonts w:ascii="Times New Roman" w:hAnsi="Times New Roman" w:cs="Times New Roman"/>
          <w:sz w:val="20"/>
          <w:szCs w:val="20"/>
          <w:highlight w:val="red"/>
        </w:rPr>
      </w:pPr>
      <w:r w:rsidRPr="00D666FF">
        <w:rPr>
          <w:rStyle w:val="FootnoteReference"/>
          <w:rFonts w:ascii="Times New Roman" w:hAnsi="Times New Roman" w:cs="Times New Roman"/>
          <w:sz w:val="20"/>
          <w:szCs w:val="20"/>
          <w:highlight w:val="red"/>
        </w:rPr>
        <w:footnoteRef/>
      </w:r>
      <w:r w:rsidRPr="00D666FF">
        <w:rPr>
          <w:rFonts w:ascii="Times New Roman" w:hAnsi="Times New Roman" w:cs="Times New Roman"/>
          <w:sz w:val="20"/>
          <w:szCs w:val="20"/>
          <w:highlight w:val="red"/>
        </w:rPr>
        <w:t xml:space="preserve"> Intellectually Handicapped Children (IHC) New Zealand recognises “people with intellectual disabilities” as the term that New Zealand officially recognizes (IHC, 2017). This study recognises this. PWID is sometimes used in different ways (looking at adults and children) to attend to the study's objectives.</w:t>
      </w:r>
    </w:p>
    <w:p w14:paraId="62B4D836" w14:textId="77777777" w:rsidR="00D666FF" w:rsidRPr="00D666FF" w:rsidRDefault="00D666FF" w:rsidP="00D666FF">
      <w:pPr>
        <w:spacing w:line="240" w:lineRule="auto"/>
        <w:rPr>
          <w:rFonts w:ascii="Times New Roman" w:hAnsi="Times New Roman" w:cs="Times New Roman"/>
          <w:sz w:val="20"/>
          <w:szCs w:val="20"/>
          <w:highlight w:val="red"/>
        </w:rPr>
      </w:pPr>
    </w:p>
    <w:p w14:paraId="4ED77FA2" w14:textId="77777777" w:rsidR="00D666FF" w:rsidRDefault="00D666FF" w:rsidP="00D666FF">
      <w:pPr>
        <w:spacing w:line="240" w:lineRule="auto"/>
        <w:rPr>
          <w:rFonts w:ascii="Times New Roman" w:hAnsi="Times New Roman" w:cs="Times New Roman"/>
          <w:sz w:val="24"/>
          <w:szCs w:val="24"/>
        </w:rPr>
      </w:pPr>
      <w:r w:rsidRPr="00D666FF">
        <w:rPr>
          <w:rFonts w:ascii="Times New Roman" w:hAnsi="Times New Roman" w:cs="Times New Roman"/>
          <w:sz w:val="24"/>
          <w:szCs w:val="24"/>
          <w:highlight w:val="red"/>
        </w:rPr>
        <w:t>Literature supporting this is minimal, however a study of Australian offenders found 88.4% (borderline</w:t>
      </w:r>
      <w:r w:rsidRPr="00D666FF">
        <w:rPr>
          <w:rStyle w:val="FootnoteReference"/>
          <w:rFonts w:ascii="Times New Roman" w:hAnsi="Times New Roman" w:cs="Times New Roman"/>
          <w:sz w:val="24"/>
          <w:szCs w:val="24"/>
          <w:highlight w:val="red"/>
        </w:rPr>
        <w:footnoteReference w:id="1"/>
      </w:r>
      <w:r w:rsidRPr="00D666FF">
        <w:rPr>
          <w:rFonts w:ascii="Times New Roman" w:hAnsi="Times New Roman" w:cs="Times New Roman"/>
          <w:sz w:val="24"/>
          <w:szCs w:val="24"/>
          <w:highlight w:val="red"/>
        </w:rPr>
        <w:t>, 39.3%; mild 49.1%; moderate, 6.3%, severe = 1.4; profound = NA; unspecified/unassessed = 3.8%) of PWID in custody as having milder forms of ID (</w:t>
      </w:r>
      <w:proofErr w:type="spellStart"/>
      <w:r w:rsidRPr="00D666FF">
        <w:rPr>
          <w:rFonts w:ascii="Times New Roman" w:hAnsi="Times New Roman" w:cs="Times New Roman"/>
          <w:sz w:val="24"/>
          <w:szCs w:val="24"/>
          <w:highlight w:val="red"/>
        </w:rPr>
        <w:t>Cockram</w:t>
      </w:r>
      <w:proofErr w:type="spellEnd"/>
      <w:r w:rsidRPr="00D666FF">
        <w:rPr>
          <w:rFonts w:ascii="Times New Roman" w:hAnsi="Times New Roman" w:cs="Times New Roman"/>
          <w:sz w:val="24"/>
          <w:szCs w:val="24"/>
          <w:highlight w:val="red"/>
        </w:rPr>
        <w:t xml:space="preserve">, 2005). Thus, by applying the ‘developmental model’ for mild ID, jurors should expect most witnesses and defendants with </w:t>
      </w:r>
      <w:proofErr w:type="gramStart"/>
      <w:r w:rsidRPr="00D666FF">
        <w:rPr>
          <w:rFonts w:ascii="Times New Roman" w:hAnsi="Times New Roman" w:cs="Times New Roman"/>
          <w:sz w:val="24"/>
          <w:szCs w:val="24"/>
          <w:highlight w:val="red"/>
        </w:rPr>
        <w:t>ID’s</w:t>
      </w:r>
      <w:proofErr w:type="gramEnd"/>
      <w:r w:rsidRPr="00D666FF">
        <w:rPr>
          <w:rFonts w:ascii="Times New Roman" w:hAnsi="Times New Roman" w:cs="Times New Roman"/>
          <w:sz w:val="24"/>
          <w:szCs w:val="24"/>
          <w:highlight w:val="red"/>
        </w:rPr>
        <w:t xml:space="preserve"> to have more deficits than their CA match, but be as capable as a TD person with the same MA.</w:t>
      </w:r>
    </w:p>
    <w:p w14:paraId="5E975CFB" w14:textId="742FA2CC" w:rsidR="00D666FF" w:rsidRDefault="00D666FF" w:rsidP="00D666FF">
      <w:pPr>
        <w:pStyle w:val="Heading1"/>
        <w:rPr>
          <w:rStyle w:val="Heading1Char"/>
          <w:rFonts w:ascii="Times New Roman" w:hAnsi="Times New Roman" w:cs="Times New Roman"/>
          <w:b/>
          <w:bCs/>
          <w:color w:val="auto"/>
          <w:sz w:val="24"/>
          <w:szCs w:val="24"/>
        </w:rPr>
      </w:pPr>
    </w:p>
    <w:p w14:paraId="628560C5" w14:textId="31DE5EBA" w:rsidR="00B8099D" w:rsidRDefault="00B8099D" w:rsidP="00B8099D"/>
    <w:p w14:paraId="3AE4D465" w14:textId="77B503D3" w:rsidR="00B8099D" w:rsidRDefault="00B8099D" w:rsidP="00B8099D"/>
    <w:p w14:paraId="7660AD63" w14:textId="75E892FE" w:rsidR="00B8099D" w:rsidRDefault="00B8099D" w:rsidP="00B8099D"/>
    <w:p w14:paraId="765C06FE" w14:textId="43852DB1" w:rsidR="00B8099D" w:rsidRDefault="00B8099D" w:rsidP="00B8099D"/>
    <w:p w14:paraId="6736BD09" w14:textId="39FEE507" w:rsidR="00B8099D" w:rsidRDefault="00B8099D" w:rsidP="00B8099D"/>
    <w:p w14:paraId="02A50075" w14:textId="0F0F43DA" w:rsidR="00B8099D" w:rsidRDefault="00B8099D" w:rsidP="00B8099D"/>
    <w:p w14:paraId="57AAB047" w14:textId="4A397978" w:rsidR="00B8099D" w:rsidRDefault="00B8099D" w:rsidP="00B8099D"/>
    <w:p w14:paraId="19F5DD18" w14:textId="77777777" w:rsidR="00B8099D" w:rsidRPr="00B8099D" w:rsidRDefault="00B8099D" w:rsidP="00B8099D"/>
    <w:p w14:paraId="1325DD49" w14:textId="45801AF7" w:rsidR="00B70A48" w:rsidRPr="007D589C" w:rsidRDefault="00B70A48" w:rsidP="00B70A48">
      <w:pPr>
        <w:pStyle w:val="Heading1"/>
        <w:numPr>
          <w:ilvl w:val="0"/>
          <w:numId w:val="3"/>
        </w:numPr>
        <w:jc w:val="center"/>
        <w:rPr>
          <w:rStyle w:val="Heading1Char"/>
          <w:rFonts w:ascii="Times New Roman" w:hAnsi="Times New Roman" w:cs="Times New Roman"/>
          <w:b/>
          <w:bCs/>
          <w:color w:val="auto"/>
          <w:sz w:val="24"/>
          <w:szCs w:val="24"/>
        </w:rPr>
      </w:pPr>
      <w:r w:rsidRPr="007D589C">
        <w:rPr>
          <w:rStyle w:val="Heading1Char"/>
          <w:rFonts w:ascii="Times New Roman" w:hAnsi="Times New Roman" w:cs="Times New Roman"/>
          <w:b/>
          <w:bCs/>
          <w:color w:val="auto"/>
          <w:sz w:val="24"/>
          <w:szCs w:val="24"/>
        </w:rPr>
        <w:lastRenderedPageBreak/>
        <w:t>Introduction</w:t>
      </w:r>
    </w:p>
    <w:p w14:paraId="2EA6FBAF" w14:textId="77777777" w:rsidR="00B70A48" w:rsidRPr="007D589C" w:rsidRDefault="00B70A48" w:rsidP="00B70A48">
      <w:pPr>
        <w:rPr>
          <w:rFonts w:ascii="Times New Roman" w:hAnsi="Times New Roman" w:cs="Times New Roman"/>
        </w:rPr>
      </w:pPr>
    </w:p>
    <w:p w14:paraId="57122AF6" w14:textId="77777777" w:rsidR="00B70A48" w:rsidRPr="007D589C" w:rsidRDefault="00B70A48" w:rsidP="00B70A48">
      <w:pPr>
        <w:pStyle w:val="Heading2"/>
        <w:numPr>
          <w:ilvl w:val="1"/>
          <w:numId w:val="3"/>
        </w:numPr>
        <w:ind w:left="1440" w:hanging="360"/>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Intellectual Disability and Unjust Injustice</w:t>
      </w:r>
    </w:p>
    <w:p w14:paraId="6F06F6A8" w14:textId="77777777" w:rsidR="00B70A48" w:rsidRPr="007D589C" w:rsidRDefault="00B70A48" w:rsidP="00B70A48">
      <w:pPr>
        <w:rPr>
          <w:rFonts w:ascii="Times New Roman" w:hAnsi="Times New Roman" w:cs="Times New Roman"/>
        </w:rPr>
      </w:pPr>
    </w:p>
    <w:p w14:paraId="79317C52" w14:textId="77777777" w:rsidR="00B70A48" w:rsidRDefault="00B70A48" w:rsidP="00B70A4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 xml:space="preserve">People with an intellectual disability (PWID) are a sizeable and vulnerable group (Brown et al., 2015). Globally, estimates of the prevalence of </w:t>
      </w:r>
      <w:r>
        <w:rPr>
          <w:rFonts w:ascii="Times New Roman" w:hAnsi="Times New Roman" w:cs="Times New Roman"/>
          <w:sz w:val="24"/>
          <w:szCs w:val="24"/>
        </w:rPr>
        <w:t>intellectual disability (ID)</w:t>
      </w:r>
      <w:r w:rsidRPr="007D589C">
        <w:rPr>
          <w:rFonts w:ascii="Times New Roman" w:hAnsi="Times New Roman" w:cs="Times New Roman"/>
          <w:sz w:val="24"/>
          <w:szCs w:val="24"/>
        </w:rPr>
        <w:t xml:space="preserve"> range from 1-3% (World Health Organization [WHO] &amp; The World Bank [WB], 2011; McKenzie et al., 2016; Armstrong et al., 2013), and in New Zealand, 2% of the population (≈100,000 people) have an ID (Statistics New Zealand, 2013; Intellectually Handicapped New Zealand [IHC], 2017). This demographic, compared to the general population, is at an increased risk of social stigma and exclusion, discrimination, and abuse (Hughes et al., 2012). Additionally, PWID are more likely to be victims of crime (</w:t>
      </w:r>
      <w:proofErr w:type="spellStart"/>
      <w:r w:rsidRPr="007D589C">
        <w:rPr>
          <w:rFonts w:ascii="Times New Roman" w:hAnsi="Times New Roman" w:cs="Times New Roman"/>
          <w:sz w:val="24"/>
          <w:szCs w:val="24"/>
        </w:rPr>
        <w:t>Fogden</w:t>
      </w:r>
      <w:proofErr w:type="spellEnd"/>
      <w:r w:rsidRPr="007D589C">
        <w:rPr>
          <w:rFonts w:ascii="Times New Roman" w:hAnsi="Times New Roman" w:cs="Times New Roman"/>
          <w:sz w:val="24"/>
          <w:szCs w:val="24"/>
        </w:rPr>
        <w:t>, et al., 2016; WHO &amp; WB, 2011), or even perpetrators in some categories (e.g., violent crime) (cf. Nixon et al., 2017). Thus, PWID are more likely than the general population to depend on the efficacy of their respective justice systems (</w:t>
      </w:r>
      <w:proofErr w:type="spellStart"/>
      <w:r w:rsidRPr="007D589C">
        <w:rPr>
          <w:rFonts w:ascii="Times New Roman" w:hAnsi="Times New Roman" w:cs="Times New Roman"/>
          <w:sz w:val="24"/>
          <w:szCs w:val="24"/>
          <w:shd w:val="clear" w:color="auto" w:fill="FFFFFF"/>
        </w:rPr>
        <w:t>Brookbanks</w:t>
      </w:r>
      <w:proofErr w:type="spellEnd"/>
      <w:r w:rsidRPr="007D589C">
        <w:rPr>
          <w:rFonts w:ascii="Times New Roman" w:hAnsi="Times New Roman" w:cs="Times New Roman"/>
          <w:sz w:val="24"/>
          <w:szCs w:val="24"/>
          <w:shd w:val="clear" w:color="auto" w:fill="FFFFFF"/>
        </w:rPr>
        <w:t>, 2019). Regularly, however, their needs are not met.</w:t>
      </w:r>
      <w:r>
        <w:rPr>
          <w:rFonts w:ascii="Times New Roman" w:hAnsi="Times New Roman" w:cs="Times New Roman"/>
          <w:sz w:val="24"/>
          <w:szCs w:val="24"/>
          <w:shd w:val="clear" w:color="auto" w:fill="FFFFFF"/>
        </w:rPr>
        <w:t xml:space="preserve"> </w:t>
      </w:r>
    </w:p>
    <w:p w14:paraId="7A7B4834" w14:textId="77777777" w:rsidR="00B70A48" w:rsidRPr="00E013DF" w:rsidRDefault="00B70A48" w:rsidP="00B70A4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that ableist discrimination (Hehir, 2002; Miller et al., 2004) against PWID seeps into the courtroom, and juries have misconceptions of the competencies of PWID (</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 Westcott &amp; Jones, 1999; Henry et al., 2011b). Yet, PWID do have various deficits (American Psychiatric Association [APA], 2013; Brown et al., 2015), </w:t>
      </w:r>
      <w:r>
        <w:rPr>
          <w:rFonts w:ascii="Times New Roman" w:hAnsi="Times New Roman" w:cs="Times New Roman"/>
          <w:sz w:val="24"/>
          <w:szCs w:val="24"/>
        </w:rPr>
        <w:t xml:space="preserve">so understanding juror perception, and when they are accurate or erroneous, is critical to 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668DDAD0" w14:textId="77777777" w:rsidR="00B70A48" w:rsidRPr="007D589C" w:rsidRDefault="00B70A48" w:rsidP="00B70A48">
      <w:pPr>
        <w:pStyle w:val="Heading2"/>
        <w:numPr>
          <w:ilvl w:val="1"/>
          <w:numId w:val="3"/>
        </w:numPr>
        <w:ind w:left="1440" w:hanging="360"/>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Understanding ID’s</w:t>
      </w:r>
    </w:p>
    <w:p w14:paraId="6B105B5D" w14:textId="77777777" w:rsidR="00B70A48" w:rsidRPr="007D589C" w:rsidRDefault="00B70A48" w:rsidP="00B70A48">
      <w:pPr>
        <w:rPr>
          <w:rFonts w:ascii="Times New Roman" w:hAnsi="Times New Roman" w:cs="Times New Roman"/>
        </w:rPr>
      </w:pPr>
    </w:p>
    <w:p w14:paraId="6D8DFE03" w14:textId="77777777" w:rsidR="00B70A48" w:rsidRDefault="00B70A48" w:rsidP="00B70A48">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 xml:space="preserve">ID, or intellectual developmental disorder (WHO, 2018), is a neurodevelopmental disorder (American Psychiatric Association [APA], 2013). It originates during a person's development period (before 18 years of age), are intellectual (e.g., problem solving, abstract thinking) and adaptive (e.g., personal independence, communication) functioning deficits which are demonstrated in conceptual, social, and practical domains, and can range in severity (mild, moderate, severe, and profound) (APA, 2013; WHO, 2018). These deficits mean that, typically, PWID have a mental age (MA) that is lower than peoples of the same chronological age (CA) who are typically developing (TD), meaning their developmental level is analogous of younger peers (APA, 2013; Henry et al., 2011b). Finally, </w:t>
      </w:r>
      <w:proofErr w:type="gramStart"/>
      <w:r w:rsidRPr="007D589C">
        <w:rPr>
          <w:rFonts w:ascii="Times New Roman" w:hAnsi="Times New Roman" w:cs="Times New Roman"/>
          <w:sz w:val="24"/>
          <w:szCs w:val="24"/>
        </w:rPr>
        <w:t>ID’s</w:t>
      </w:r>
      <w:proofErr w:type="gramEnd"/>
      <w:r w:rsidRPr="007D589C">
        <w:rPr>
          <w:rFonts w:ascii="Times New Roman" w:hAnsi="Times New Roman" w:cs="Times New Roman"/>
          <w:sz w:val="24"/>
          <w:szCs w:val="24"/>
        </w:rPr>
        <w:t xml:space="preserve"> are lifelong (Armstrong et al., 2013), and mild ID is the most common (Boat &amp; Wu, 2015) classification, a severity attributed to approximately 85% of PWID (Armstrong et al., 2013). </w:t>
      </w:r>
    </w:p>
    <w:p w14:paraId="64466648" w14:textId="5D5D50AC" w:rsidR="00920D9E" w:rsidRDefault="00920D9E" w:rsidP="00C8421B">
      <w:pPr>
        <w:spacing w:line="240" w:lineRule="auto"/>
        <w:rPr>
          <w:rFonts w:ascii="Times New Roman" w:hAnsi="Times New Roman" w:cs="Times New Roman"/>
          <w:sz w:val="24"/>
          <w:szCs w:val="24"/>
        </w:rPr>
      </w:pPr>
    </w:p>
    <w:p w14:paraId="5FECC0CE" w14:textId="18AD9560" w:rsidR="00920D9E" w:rsidRDefault="00920D9E" w:rsidP="00C8421B">
      <w:pPr>
        <w:spacing w:line="240" w:lineRule="auto"/>
        <w:rPr>
          <w:rFonts w:ascii="Times New Roman" w:hAnsi="Times New Roman" w:cs="Times New Roman"/>
          <w:sz w:val="24"/>
          <w:szCs w:val="24"/>
        </w:rPr>
      </w:pPr>
    </w:p>
    <w:p w14:paraId="599ABCA3" w14:textId="77777777" w:rsidR="00920D9E" w:rsidRPr="007D589C" w:rsidRDefault="00920D9E" w:rsidP="00920D9E">
      <w:pPr>
        <w:pStyle w:val="Heading1"/>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Method</w:t>
      </w:r>
    </w:p>
    <w:p w14:paraId="2043A544" w14:textId="77777777" w:rsidR="00920D9E" w:rsidRPr="007D589C" w:rsidRDefault="00920D9E" w:rsidP="00920D9E">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The survey was granted ethical approval by the School of Psychology Human Ethics Committee, under delegated approval from the Victoria University of Wellington Human Ethics Committee, application #</w:t>
      </w:r>
      <w:commentRangeStart w:id="0"/>
      <w:commentRangeStart w:id="1"/>
      <w:r w:rsidRPr="007D589C">
        <w:rPr>
          <w:rFonts w:ascii="Times New Roman" w:hAnsi="Times New Roman" w:cs="Times New Roman"/>
          <w:sz w:val="24"/>
          <w:szCs w:val="24"/>
        </w:rPr>
        <w:t>0000027058</w:t>
      </w:r>
      <w:commentRangeEnd w:id="0"/>
      <w:r w:rsidRPr="007D589C">
        <w:rPr>
          <w:rStyle w:val="CommentReference"/>
          <w:rFonts w:ascii="Times New Roman" w:hAnsi="Times New Roman" w:cs="Times New Roman"/>
          <w:sz w:val="24"/>
          <w:szCs w:val="24"/>
        </w:rPr>
        <w:commentReference w:id="0"/>
      </w:r>
      <w:commentRangeEnd w:id="1"/>
      <w:r w:rsidRPr="007D589C">
        <w:rPr>
          <w:rStyle w:val="CommentReference"/>
          <w:rFonts w:ascii="Times New Roman" w:hAnsi="Times New Roman" w:cs="Times New Roman"/>
          <w:sz w:val="24"/>
          <w:szCs w:val="24"/>
        </w:rPr>
        <w:commentReference w:id="1"/>
      </w:r>
      <w:r w:rsidRPr="007D589C">
        <w:rPr>
          <w:rFonts w:ascii="Times New Roman" w:hAnsi="Times New Roman" w:cs="Times New Roman"/>
          <w:color w:val="0E101A"/>
          <w:sz w:val="24"/>
          <w:szCs w:val="24"/>
        </w:rPr>
        <w:t>. This study uses a subset of a larger research programme including a more comprehensive survey. Data collection was completed before my involvement.</w:t>
      </w:r>
    </w:p>
    <w:p w14:paraId="18BF2041" w14:textId="77777777" w:rsidR="004A3E0C" w:rsidRPr="007D589C" w:rsidRDefault="004A3E0C" w:rsidP="004A3E0C">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2.1. Participants </w:t>
      </w:r>
    </w:p>
    <w:p w14:paraId="774526A0" w14:textId="77777777" w:rsidR="004A3E0C" w:rsidRPr="007D589C" w:rsidRDefault="004A3E0C" w:rsidP="004A3E0C">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N = 1915 participants began the survey, and N = 1237 were excluded from the survey, with N = 678 participants were included in the study (35%). Participants needed to be eligible for jury service in New Zealand.</w:t>
      </w:r>
      <w:r>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 xml:space="preserve">Thus, all participants were over 18 years of age, spoke English, </w:t>
      </w:r>
      <w:r w:rsidRPr="007D589C">
        <w:rPr>
          <w:rFonts w:ascii="Times New Roman" w:hAnsi="Times New Roman" w:cs="Times New Roman"/>
          <w:color w:val="0E101A"/>
          <w:sz w:val="24"/>
          <w:szCs w:val="24"/>
        </w:rPr>
        <w:lastRenderedPageBreak/>
        <w:t xml:space="preserve">and are New Zealand residents. Screening questions before the survey excluded participants ineligible for jury </w:t>
      </w:r>
      <w:commentRangeStart w:id="2"/>
      <w:commentRangeStart w:id="3"/>
      <w:r w:rsidRPr="007D589C">
        <w:rPr>
          <w:rFonts w:ascii="Times New Roman" w:hAnsi="Times New Roman" w:cs="Times New Roman"/>
          <w:color w:val="0E101A"/>
          <w:sz w:val="24"/>
          <w:szCs w:val="24"/>
        </w:rPr>
        <w:t>service</w:t>
      </w:r>
      <w:commentRangeEnd w:id="2"/>
      <w:r w:rsidRPr="007D589C">
        <w:rPr>
          <w:rStyle w:val="CommentReference"/>
          <w:rFonts w:ascii="Times New Roman" w:hAnsi="Times New Roman" w:cs="Times New Roman"/>
          <w:sz w:val="24"/>
          <w:szCs w:val="24"/>
        </w:rPr>
        <w:commentReference w:id="2"/>
      </w:r>
      <w:commentRangeEnd w:id="3"/>
      <w:r w:rsidRPr="007D589C">
        <w:rPr>
          <w:rStyle w:val="CommentReference"/>
          <w:rFonts w:ascii="Times New Roman" w:hAnsi="Times New Roman" w:cs="Times New Roman"/>
          <w:sz w:val="24"/>
          <w:szCs w:val="24"/>
        </w:rPr>
        <w:commentReference w:id="3"/>
      </w:r>
      <w:r w:rsidRPr="007D589C">
        <w:rPr>
          <w:rFonts w:ascii="Times New Roman" w:hAnsi="Times New Roman" w:cs="Times New Roman"/>
          <w:color w:val="0E101A"/>
          <w:sz w:val="24"/>
          <w:szCs w:val="24"/>
        </w:rPr>
        <w:t xml:space="preserve">. Exclusion criteria included parliamentary members, judges, lawyers, Police officers, Corrections officers, offenders with large (3+ years) sentences, criminal offenders with recent (last 5 years) and moderate (3+ months) sentences, and PWID (for full criteria, see Appendix B). Further, questions excluded participants (i.e., checks) during the survey (e.g., responding “don’t know” to &gt;60% of the items; and by giving identical answers to specific questions [however, these questions are not in this study]). Table 1 presents participant demographics for this study. There was a relatively equal gender distribution, with 51.5% of participants identifying as male, 47.9% identifying as female, and 0.6% identifying as non-binary. Participant ages were categorised in six groups (min = 18-24; max = 65+) with middle adulthood (35-44) being the modal response (20.5%). 95.87% of participants disclosed having formal education, with tertiary education being the modal response (56.78%). Over half (60.2%) of participants indicated they had children. </w:t>
      </w:r>
    </w:p>
    <w:p w14:paraId="564844FD" w14:textId="1DC40F4C" w:rsidR="00920D9E" w:rsidRDefault="00920D9E" w:rsidP="00C8421B">
      <w:pPr>
        <w:spacing w:line="240" w:lineRule="auto"/>
        <w:rPr>
          <w:rFonts w:ascii="Times New Roman" w:hAnsi="Times New Roman" w:cs="Times New Roman"/>
          <w:sz w:val="20"/>
          <w:szCs w:val="20"/>
        </w:rPr>
      </w:pPr>
    </w:p>
    <w:p w14:paraId="552360D4" w14:textId="77777777" w:rsidR="005348B3" w:rsidRPr="007D589C" w:rsidRDefault="005348B3" w:rsidP="005348B3">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with tertiary education being the modal response (56.78%). Over half (60.2%) of participants indicated they had children. </w:t>
      </w:r>
    </w:p>
    <w:p w14:paraId="49467D22" w14:textId="77777777" w:rsidR="005348B3" w:rsidRPr="007D589C" w:rsidRDefault="005348B3" w:rsidP="005348B3">
      <w:pPr>
        <w:spacing w:line="240" w:lineRule="auto"/>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Table 1.</w:t>
      </w:r>
    </w:p>
    <w:p w14:paraId="303B4C35" w14:textId="77777777" w:rsidR="005348B3" w:rsidRPr="007D589C" w:rsidRDefault="005348B3" w:rsidP="005348B3">
      <w:pPr>
        <w:spacing w:line="240" w:lineRule="auto"/>
        <w:jc w:val="both"/>
        <w:rPr>
          <w:rFonts w:ascii="Times New Roman" w:hAnsi="Times New Roman" w:cs="Times New Roman"/>
          <w:i/>
          <w:iCs/>
          <w:sz w:val="24"/>
          <w:szCs w:val="24"/>
        </w:rPr>
      </w:pPr>
      <w:r w:rsidRPr="007D589C">
        <w:rPr>
          <w:rFonts w:ascii="Times New Roman" w:hAnsi="Times New Roman" w:cs="Times New Roman"/>
          <w:i/>
          <w:iCs/>
          <w:sz w:val="24"/>
          <w:szCs w:val="24"/>
        </w:rPr>
        <w:t>Demographic Responses of Survey Participants</w:t>
      </w:r>
    </w:p>
    <w:tbl>
      <w:tblPr>
        <w:tblStyle w:val="Table"/>
        <w:tblW w:w="5000" w:type="pct"/>
        <w:tblInd w:w="0" w:type="dxa"/>
        <w:tblLook w:val="0020" w:firstRow="1" w:lastRow="0" w:firstColumn="0" w:lastColumn="0" w:noHBand="0" w:noVBand="0"/>
      </w:tblPr>
      <w:tblGrid>
        <w:gridCol w:w="6519"/>
        <w:gridCol w:w="1310"/>
        <w:gridCol w:w="1197"/>
      </w:tblGrid>
      <w:tr w:rsidR="005348B3" w:rsidRPr="007D589C" w14:paraId="4B7516C6" w14:textId="77777777" w:rsidTr="00DB0A7C">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6DE7525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Demographic</w:t>
            </w:r>
          </w:p>
        </w:tc>
        <w:tc>
          <w:tcPr>
            <w:tcW w:w="0" w:type="auto"/>
            <w:tcBorders>
              <w:top w:val="nil"/>
              <w:left w:val="nil"/>
              <w:right w:val="nil"/>
            </w:tcBorders>
            <w:hideMark/>
          </w:tcPr>
          <w:p w14:paraId="5E4E9936" w14:textId="77777777" w:rsidR="005348B3" w:rsidRPr="007D589C" w:rsidRDefault="005348B3" w:rsidP="00DB0A7C">
            <w:pPr>
              <w:pStyle w:val="Compact"/>
              <w:rPr>
                <w:rFonts w:ascii="Times New Roman" w:hAnsi="Times New Roman" w:cs="Times New Roman"/>
                <w:i/>
                <w:iCs/>
              </w:rPr>
            </w:pPr>
            <w:r w:rsidRPr="007D589C">
              <w:rPr>
                <w:rFonts w:ascii="Times New Roman" w:hAnsi="Times New Roman" w:cs="Times New Roman"/>
              </w:rPr>
              <w:t xml:space="preserve">  </w:t>
            </w:r>
            <w:r w:rsidRPr="007D589C">
              <w:rPr>
                <w:rFonts w:ascii="Times New Roman" w:hAnsi="Times New Roman" w:cs="Times New Roman"/>
                <w:i/>
                <w:iCs/>
              </w:rPr>
              <w:t>n</w:t>
            </w:r>
          </w:p>
        </w:tc>
        <w:tc>
          <w:tcPr>
            <w:tcW w:w="0" w:type="auto"/>
            <w:tcBorders>
              <w:top w:val="nil"/>
              <w:left w:val="nil"/>
              <w:right w:val="nil"/>
            </w:tcBorders>
            <w:hideMark/>
          </w:tcPr>
          <w:p w14:paraId="0858A31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w:t>
            </w:r>
          </w:p>
        </w:tc>
      </w:tr>
      <w:tr w:rsidR="005348B3" w:rsidRPr="007D589C" w14:paraId="7EEF9168" w14:textId="77777777" w:rsidTr="00DB0A7C">
        <w:trPr>
          <w:trHeight w:val="339"/>
        </w:trPr>
        <w:tc>
          <w:tcPr>
            <w:tcW w:w="0" w:type="auto"/>
            <w:hideMark/>
          </w:tcPr>
          <w:p w14:paraId="65F781F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Included in </w:t>
            </w:r>
            <w:proofErr w:type="gramStart"/>
            <w:r w:rsidRPr="007D589C">
              <w:rPr>
                <w:rFonts w:ascii="Times New Roman" w:hAnsi="Times New Roman" w:cs="Times New Roman"/>
              </w:rPr>
              <w:t>study</w:t>
            </w:r>
            <w:proofErr w:type="gramEnd"/>
          </w:p>
          <w:p w14:paraId="6341F15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Excluded from </w:t>
            </w:r>
            <w:proofErr w:type="gramStart"/>
            <w:r w:rsidRPr="007D589C">
              <w:rPr>
                <w:rFonts w:ascii="Times New Roman" w:hAnsi="Times New Roman" w:cs="Times New Roman"/>
              </w:rPr>
              <w:t>study</w:t>
            </w:r>
            <w:proofErr w:type="gramEnd"/>
          </w:p>
          <w:p w14:paraId="73D4862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Gender</w:t>
            </w:r>
          </w:p>
        </w:tc>
        <w:tc>
          <w:tcPr>
            <w:tcW w:w="0" w:type="auto"/>
            <w:hideMark/>
          </w:tcPr>
          <w:p w14:paraId="3B2C319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678</w:t>
            </w:r>
          </w:p>
          <w:p w14:paraId="2976F4A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1237</w:t>
            </w:r>
          </w:p>
        </w:tc>
        <w:tc>
          <w:tcPr>
            <w:tcW w:w="0" w:type="auto"/>
            <w:hideMark/>
          </w:tcPr>
          <w:p w14:paraId="539558A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35</w:t>
            </w:r>
          </w:p>
          <w:p w14:paraId="2375F2C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65</w:t>
            </w:r>
          </w:p>
        </w:tc>
      </w:tr>
      <w:tr w:rsidR="005348B3" w:rsidRPr="007D589C" w14:paraId="7946F83F" w14:textId="77777777" w:rsidTr="00DB0A7C">
        <w:trPr>
          <w:trHeight w:val="339"/>
        </w:trPr>
        <w:tc>
          <w:tcPr>
            <w:tcW w:w="0" w:type="auto"/>
            <w:hideMark/>
          </w:tcPr>
          <w:p w14:paraId="47AA502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Male</w:t>
            </w:r>
          </w:p>
        </w:tc>
        <w:tc>
          <w:tcPr>
            <w:tcW w:w="0" w:type="auto"/>
            <w:hideMark/>
          </w:tcPr>
          <w:p w14:paraId="6BD2788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349</w:t>
            </w:r>
          </w:p>
        </w:tc>
        <w:tc>
          <w:tcPr>
            <w:tcW w:w="0" w:type="auto"/>
            <w:hideMark/>
          </w:tcPr>
          <w:p w14:paraId="0466DD5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51.5</w:t>
            </w:r>
          </w:p>
        </w:tc>
      </w:tr>
      <w:tr w:rsidR="005348B3" w:rsidRPr="007D589C" w14:paraId="1F3D955F" w14:textId="77777777" w:rsidTr="00DB0A7C">
        <w:trPr>
          <w:trHeight w:val="339"/>
        </w:trPr>
        <w:tc>
          <w:tcPr>
            <w:tcW w:w="0" w:type="auto"/>
            <w:hideMark/>
          </w:tcPr>
          <w:p w14:paraId="32AE835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Female</w:t>
            </w:r>
          </w:p>
        </w:tc>
        <w:tc>
          <w:tcPr>
            <w:tcW w:w="0" w:type="auto"/>
            <w:hideMark/>
          </w:tcPr>
          <w:p w14:paraId="6BF0B32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325</w:t>
            </w:r>
          </w:p>
        </w:tc>
        <w:tc>
          <w:tcPr>
            <w:tcW w:w="0" w:type="auto"/>
            <w:hideMark/>
          </w:tcPr>
          <w:p w14:paraId="0C15111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47.9</w:t>
            </w:r>
          </w:p>
        </w:tc>
      </w:tr>
      <w:tr w:rsidR="005348B3" w:rsidRPr="007D589C" w14:paraId="08C3B144" w14:textId="77777777" w:rsidTr="00DB0A7C">
        <w:trPr>
          <w:trHeight w:val="339"/>
        </w:trPr>
        <w:tc>
          <w:tcPr>
            <w:tcW w:w="0" w:type="auto"/>
            <w:hideMark/>
          </w:tcPr>
          <w:p w14:paraId="1898143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Non-binary</w:t>
            </w:r>
          </w:p>
        </w:tc>
        <w:tc>
          <w:tcPr>
            <w:tcW w:w="0" w:type="auto"/>
            <w:hideMark/>
          </w:tcPr>
          <w:p w14:paraId="1D4C260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w:t>
            </w:r>
          </w:p>
        </w:tc>
        <w:tc>
          <w:tcPr>
            <w:tcW w:w="0" w:type="auto"/>
            <w:hideMark/>
          </w:tcPr>
          <w:p w14:paraId="0D5B75D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0.59</w:t>
            </w:r>
          </w:p>
        </w:tc>
      </w:tr>
      <w:tr w:rsidR="005348B3" w:rsidRPr="007D589C" w14:paraId="6AC9B0DA" w14:textId="77777777" w:rsidTr="00DB0A7C">
        <w:trPr>
          <w:trHeight w:val="348"/>
        </w:trPr>
        <w:tc>
          <w:tcPr>
            <w:tcW w:w="0" w:type="auto"/>
            <w:hideMark/>
          </w:tcPr>
          <w:p w14:paraId="5674251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Age</w:t>
            </w:r>
          </w:p>
        </w:tc>
        <w:tc>
          <w:tcPr>
            <w:tcW w:w="0" w:type="auto"/>
            <w:hideMark/>
          </w:tcPr>
          <w:p w14:paraId="40C0B834" w14:textId="77777777" w:rsidR="005348B3" w:rsidRPr="007D589C" w:rsidRDefault="005348B3" w:rsidP="00DB0A7C">
            <w:pPr>
              <w:pStyle w:val="Compact"/>
              <w:rPr>
                <w:rFonts w:ascii="Times New Roman" w:hAnsi="Times New Roman" w:cs="Times New Roman"/>
              </w:rPr>
            </w:pPr>
          </w:p>
        </w:tc>
        <w:tc>
          <w:tcPr>
            <w:tcW w:w="0" w:type="auto"/>
            <w:hideMark/>
          </w:tcPr>
          <w:p w14:paraId="3C678798" w14:textId="77777777" w:rsidR="005348B3" w:rsidRPr="007D589C" w:rsidRDefault="005348B3" w:rsidP="00DB0A7C">
            <w:pPr>
              <w:pStyle w:val="Compact"/>
              <w:rPr>
                <w:rFonts w:ascii="Times New Roman" w:hAnsi="Times New Roman" w:cs="Times New Roman"/>
              </w:rPr>
            </w:pPr>
          </w:p>
        </w:tc>
      </w:tr>
      <w:tr w:rsidR="005348B3" w:rsidRPr="007D589C" w14:paraId="69567B57" w14:textId="77777777" w:rsidTr="00DB0A7C">
        <w:trPr>
          <w:trHeight w:val="339"/>
        </w:trPr>
        <w:tc>
          <w:tcPr>
            <w:tcW w:w="0" w:type="auto"/>
            <w:hideMark/>
          </w:tcPr>
          <w:p w14:paraId="569284D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18–24 years</w:t>
            </w:r>
          </w:p>
        </w:tc>
        <w:tc>
          <w:tcPr>
            <w:tcW w:w="0" w:type="auto"/>
            <w:hideMark/>
          </w:tcPr>
          <w:p w14:paraId="4DFF30C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111</w:t>
            </w:r>
          </w:p>
        </w:tc>
        <w:tc>
          <w:tcPr>
            <w:tcW w:w="0" w:type="auto"/>
            <w:hideMark/>
          </w:tcPr>
          <w:p w14:paraId="52001C9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16.4</w:t>
            </w:r>
          </w:p>
        </w:tc>
      </w:tr>
      <w:tr w:rsidR="005348B3" w:rsidRPr="007D589C" w14:paraId="6FA6953A" w14:textId="77777777" w:rsidTr="00DB0A7C">
        <w:trPr>
          <w:trHeight w:val="339"/>
        </w:trPr>
        <w:tc>
          <w:tcPr>
            <w:tcW w:w="0" w:type="auto"/>
            <w:hideMark/>
          </w:tcPr>
          <w:p w14:paraId="35C69D4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25–34 years</w:t>
            </w:r>
          </w:p>
        </w:tc>
        <w:tc>
          <w:tcPr>
            <w:tcW w:w="0" w:type="auto"/>
            <w:hideMark/>
          </w:tcPr>
          <w:p w14:paraId="1F8DBE5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125</w:t>
            </w:r>
          </w:p>
        </w:tc>
        <w:tc>
          <w:tcPr>
            <w:tcW w:w="0" w:type="auto"/>
            <w:hideMark/>
          </w:tcPr>
          <w:p w14:paraId="1BCBAC8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18.4</w:t>
            </w:r>
          </w:p>
        </w:tc>
      </w:tr>
      <w:tr w:rsidR="005348B3" w:rsidRPr="007D589C" w14:paraId="094C50C3" w14:textId="77777777" w:rsidTr="00DB0A7C">
        <w:trPr>
          <w:trHeight w:val="339"/>
        </w:trPr>
        <w:tc>
          <w:tcPr>
            <w:tcW w:w="0" w:type="auto"/>
            <w:hideMark/>
          </w:tcPr>
          <w:p w14:paraId="64B7B84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35–44 years</w:t>
            </w:r>
          </w:p>
        </w:tc>
        <w:tc>
          <w:tcPr>
            <w:tcW w:w="0" w:type="auto"/>
            <w:hideMark/>
          </w:tcPr>
          <w:p w14:paraId="772525F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139</w:t>
            </w:r>
          </w:p>
        </w:tc>
        <w:tc>
          <w:tcPr>
            <w:tcW w:w="0" w:type="auto"/>
            <w:hideMark/>
          </w:tcPr>
          <w:p w14:paraId="672ECBC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20.5</w:t>
            </w:r>
          </w:p>
        </w:tc>
      </w:tr>
      <w:tr w:rsidR="005348B3" w:rsidRPr="007D589C" w14:paraId="7EEA5191" w14:textId="77777777" w:rsidTr="00DB0A7C">
        <w:trPr>
          <w:trHeight w:val="339"/>
        </w:trPr>
        <w:tc>
          <w:tcPr>
            <w:tcW w:w="0" w:type="auto"/>
            <w:hideMark/>
          </w:tcPr>
          <w:p w14:paraId="4FC2F68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lastRenderedPageBreak/>
              <w:t xml:space="preserve">   45–54 years</w:t>
            </w:r>
          </w:p>
        </w:tc>
        <w:tc>
          <w:tcPr>
            <w:tcW w:w="0" w:type="auto"/>
            <w:hideMark/>
          </w:tcPr>
          <w:p w14:paraId="05792B0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114</w:t>
            </w:r>
          </w:p>
        </w:tc>
        <w:tc>
          <w:tcPr>
            <w:tcW w:w="0" w:type="auto"/>
            <w:hideMark/>
          </w:tcPr>
          <w:p w14:paraId="14759BE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16.8</w:t>
            </w:r>
          </w:p>
        </w:tc>
      </w:tr>
      <w:tr w:rsidR="005348B3" w:rsidRPr="007D589C" w14:paraId="7B248F9F" w14:textId="77777777" w:rsidTr="00DB0A7C">
        <w:trPr>
          <w:trHeight w:val="348"/>
        </w:trPr>
        <w:tc>
          <w:tcPr>
            <w:tcW w:w="0" w:type="auto"/>
            <w:hideMark/>
          </w:tcPr>
          <w:p w14:paraId="7E481C6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55–64 years</w:t>
            </w:r>
          </w:p>
        </w:tc>
        <w:tc>
          <w:tcPr>
            <w:tcW w:w="0" w:type="auto"/>
            <w:hideMark/>
          </w:tcPr>
          <w:p w14:paraId="2F76E85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115</w:t>
            </w:r>
          </w:p>
        </w:tc>
        <w:tc>
          <w:tcPr>
            <w:tcW w:w="0" w:type="auto"/>
            <w:hideMark/>
          </w:tcPr>
          <w:p w14:paraId="7FBC701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16.9</w:t>
            </w:r>
          </w:p>
        </w:tc>
      </w:tr>
      <w:tr w:rsidR="005348B3" w:rsidRPr="007D589C" w14:paraId="4ABA5624" w14:textId="77777777" w:rsidTr="00DB0A7C">
        <w:trPr>
          <w:trHeight w:val="339"/>
        </w:trPr>
        <w:tc>
          <w:tcPr>
            <w:tcW w:w="0" w:type="auto"/>
            <w:hideMark/>
          </w:tcPr>
          <w:p w14:paraId="44A6B76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65+ years</w:t>
            </w:r>
          </w:p>
        </w:tc>
        <w:tc>
          <w:tcPr>
            <w:tcW w:w="0" w:type="auto"/>
            <w:hideMark/>
          </w:tcPr>
          <w:p w14:paraId="4AD5DE60"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74</w:t>
            </w:r>
          </w:p>
        </w:tc>
        <w:tc>
          <w:tcPr>
            <w:tcW w:w="0" w:type="auto"/>
            <w:hideMark/>
          </w:tcPr>
          <w:p w14:paraId="09C0F66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10.9</w:t>
            </w:r>
          </w:p>
        </w:tc>
      </w:tr>
      <w:tr w:rsidR="005348B3" w:rsidRPr="007D589C" w14:paraId="7BDCF8D0" w14:textId="77777777" w:rsidTr="00DB0A7C">
        <w:trPr>
          <w:trHeight w:val="339"/>
        </w:trPr>
        <w:tc>
          <w:tcPr>
            <w:tcW w:w="0" w:type="auto"/>
          </w:tcPr>
          <w:p w14:paraId="698772C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Education</w:t>
            </w:r>
          </w:p>
        </w:tc>
        <w:tc>
          <w:tcPr>
            <w:tcW w:w="0" w:type="auto"/>
            <w:hideMark/>
          </w:tcPr>
          <w:p w14:paraId="0C4C0681" w14:textId="77777777" w:rsidR="005348B3" w:rsidRPr="007D589C" w:rsidRDefault="005348B3" w:rsidP="00DB0A7C">
            <w:pPr>
              <w:pStyle w:val="Compact"/>
              <w:rPr>
                <w:rFonts w:ascii="Times New Roman" w:hAnsi="Times New Roman" w:cs="Times New Roman"/>
              </w:rPr>
            </w:pPr>
          </w:p>
        </w:tc>
        <w:tc>
          <w:tcPr>
            <w:tcW w:w="0" w:type="auto"/>
            <w:hideMark/>
          </w:tcPr>
          <w:p w14:paraId="5BA24925" w14:textId="77777777" w:rsidR="005348B3" w:rsidRPr="007D589C" w:rsidRDefault="005348B3" w:rsidP="00DB0A7C">
            <w:pPr>
              <w:pStyle w:val="Compact"/>
              <w:rPr>
                <w:rFonts w:ascii="Times New Roman" w:hAnsi="Times New Roman" w:cs="Times New Roman"/>
              </w:rPr>
            </w:pPr>
          </w:p>
        </w:tc>
      </w:tr>
      <w:tr w:rsidR="005348B3" w:rsidRPr="007D589C" w14:paraId="54D5C137" w14:textId="77777777" w:rsidTr="00DB0A7C">
        <w:trPr>
          <w:trHeight w:val="339"/>
        </w:trPr>
        <w:tc>
          <w:tcPr>
            <w:tcW w:w="0" w:type="auto"/>
            <w:hideMark/>
          </w:tcPr>
          <w:p w14:paraId="674244B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None</w:t>
            </w:r>
          </w:p>
        </w:tc>
        <w:tc>
          <w:tcPr>
            <w:tcW w:w="0" w:type="auto"/>
            <w:hideMark/>
          </w:tcPr>
          <w:p w14:paraId="7453E63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28</w:t>
            </w:r>
          </w:p>
        </w:tc>
        <w:tc>
          <w:tcPr>
            <w:tcW w:w="0" w:type="auto"/>
            <w:hideMark/>
          </w:tcPr>
          <w:p w14:paraId="51B2D65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4.1</w:t>
            </w:r>
          </w:p>
        </w:tc>
      </w:tr>
      <w:tr w:rsidR="005348B3" w:rsidRPr="007D589C" w14:paraId="6856AF38" w14:textId="77777777" w:rsidTr="00DB0A7C">
        <w:trPr>
          <w:trHeight w:val="339"/>
        </w:trPr>
        <w:tc>
          <w:tcPr>
            <w:tcW w:w="0" w:type="auto"/>
            <w:hideMark/>
          </w:tcPr>
          <w:p w14:paraId="27622D4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Secondary School Qualification</w:t>
            </w:r>
          </w:p>
        </w:tc>
        <w:tc>
          <w:tcPr>
            <w:tcW w:w="0" w:type="auto"/>
            <w:hideMark/>
          </w:tcPr>
          <w:p w14:paraId="7C6EDB0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265</w:t>
            </w:r>
          </w:p>
        </w:tc>
        <w:tc>
          <w:tcPr>
            <w:tcW w:w="0" w:type="auto"/>
            <w:hideMark/>
          </w:tcPr>
          <w:p w14:paraId="43D548C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39.1</w:t>
            </w:r>
          </w:p>
        </w:tc>
      </w:tr>
      <w:tr w:rsidR="005348B3" w:rsidRPr="007D589C" w14:paraId="4457998C" w14:textId="77777777" w:rsidTr="00DB0A7C">
        <w:trPr>
          <w:trHeight w:val="339"/>
        </w:trPr>
        <w:tc>
          <w:tcPr>
            <w:tcW w:w="0" w:type="auto"/>
            <w:hideMark/>
          </w:tcPr>
          <w:p w14:paraId="608CF3D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Tertiary Qualification</w:t>
            </w:r>
          </w:p>
          <w:p w14:paraId="1A74ADD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Have Children</w:t>
            </w:r>
          </w:p>
          <w:p w14:paraId="093F012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Yes</w:t>
            </w:r>
          </w:p>
          <w:p w14:paraId="511C176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No</w:t>
            </w:r>
          </w:p>
        </w:tc>
        <w:tc>
          <w:tcPr>
            <w:tcW w:w="0" w:type="auto"/>
            <w:hideMark/>
          </w:tcPr>
          <w:p w14:paraId="3DBA82E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385</w:t>
            </w:r>
          </w:p>
          <w:p w14:paraId="373D2333" w14:textId="77777777" w:rsidR="005348B3" w:rsidRPr="007D589C" w:rsidRDefault="005348B3" w:rsidP="00DB0A7C">
            <w:pPr>
              <w:pStyle w:val="Compact"/>
              <w:rPr>
                <w:rFonts w:ascii="Times New Roman" w:hAnsi="Times New Roman" w:cs="Times New Roman"/>
              </w:rPr>
            </w:pPr>
          </w:p>
          <w:p w14:paraId="3F7C2D5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270</w:t>
            </w:r>
          </w:p>
          <w:p w14:paraId="19E496A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408</w:t>
            </w:r>
          </w:p>
          <w:p w14:paraId="71749760" w14:textId="77777777" w:rsidR="005348B3" w:rsidRPr="007D589C" w:rsidRDefault="005348B3" w:rsidP="00DB0A7C">
            <w:pPr>
              <w:pStyle w:val="Compact"/>
              <w:rPr>
                <w:rFonts w:ascii="Times New Roman" w:hAnsi="Times New Roman" w:cs="Times New Roman"/>
              </w:rPr>
            </w:pPr>
          </w:p>
        </w:tc>
        <w:tc>
          <w:tcPr>
            <w:tcW w:w="0" w:type="auto"/>
            <w:hideMark/>
          </w:tcPr>
          <w:p w14:paraId="20E030B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56.8</w:t>
            </w:r>
          </w:p>
          <w:p w14:paraId="53BAAE08" w14:textId="77777777" w:rsidR="005348B3" w:rsidRPr="007D589C" w:rsidRDefault="005348B3" w:rsidP="00DB0A7C">
            <w:pPr>
              <w:pStyle w:val="Compact"/>
              <w:rPr>
                <w:rFonts w:ascii="Times New Roman" w:hAnsi="Times New Roman" w:cs="Times New Roman"/>
              </w:rPr>
            </w:pPr>
          </w:p>
          <w:p w14:paraId="3BB34DE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39.8</w:t>
            </w:r>
          </w:p>
          <w:p w14:paraId="68C0B7C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60.2</w:t>
            </w:r>
          </w:p>
        </w:tc>
      </w:tr>
    </w:tbl>
    <w:p w14:paraId="6FAA6F8A" w14:textId="77777777" w:rsidR="005348B3" w:rsidRPr="007D589C" w:rsidRDefault="005348B3" w:rsidP="005348B3">
      <w:pPr>
        <w:pStyle w:val="Heading2"/>
        <w:spacing w:line="480" w:lineRule="auto"/>
        <w:rPr>
          <w:rFonts w:ascii="Times New Roman" w:hAnsi="Times New Roman" w:cs="Times New Roman"/>
          <w:b/>
          <w:bCs/>
          <w:color w:val="auto"/>
          <w:sz w:val="24"/>
          <w:szCs w:val="24"/>
        </w:rPr>
      </w:pPr>
    </w:p>
    <w:p w14:paraId="7885FF9C" w14:textId="77777777" w:rsidR="005348B3" w:rsidRPr="007D589C" w:rsidRDefault="005348B3" w:rsidP="005348B3">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2.2. Materials</w:t>
      </w:r>
    </w:p>
    <w:p w14:paraId="47ABF4E3" w14:textId="77777777" w:rsidR="005348B3" w:rsidRPr="007D589C" w:rsidRDefault="005348B3" w:rsidP="005348B3">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Instructions, materials, and consents (see Appendix A) as well as debriefs were presented via Qualtrics. Nine items in the questionnaire were adapted from the </w:t>
      </w:r>
      <w:r w:rsidRPr="007D589C">
        <w:rPr>
          <w:rFonts w:ascii="Times New Roman" w:hAnsi="Times New Roman" w:cs="Times New Roman"/>
          <w:sz w:val="24"/>
          <w:szCs w:val="24"/>
        </w:rPr>
        <w:t>Child Sexual Abuse Knowledge Questionnaire (</w:t>
      </w:r>
      <w:commentRangeStart w:id="4"/>
      <w:r w:rsidRPr="007D589C">
        <w:rPr>
          <w:rFonts w:ascii="Times New Roman" w:hAnsi="Times New Roman" w:cs="Times New Roman"/>
          <w:sz w:val="24"/>
          <w:szCs w:val="24"/>
        </w:rPr>
        <w:t>CSA</w:t>
      </w:r>
      <w:commentRangeEnd w:id="4"/>
      <w:r w:rsidRPr="007D589C">
        <w:rPr>
          <w:rStyle w:val="CommentReference"/>
          <w:rFonts w:ascii="Times New Roman" w:hAnsi="Times New Roman" w:cs="Times New Roman"/>
          <w:sz w:val="24"/>
          <w:szCs w:val="24"/>
        </w:rPr>
        <w:commentReference w:id="4"/>
      </w:r>
      <w:r w:rsidRPr="007D589C">
        <w:rPr>
          <w:rFonts w:ascii="Times New Roman" w:hAnsi="Times New Roman" w:cs="Times New Roman"/>
          <w:sz w:val="24"/>
          <w:szCs w:val="24"/>
        </w:rPr>
        <w:t>-KQ) by</w:t>
      </w:r>
      <w:r w:rsidRPr="007D589C">
        <w:rPr>
          <w:rFonts w:ascii="Times New Roman" w:hAnsi="Times New Roman" w:cs="Times New Roman"/>
          <w:color w:val="0E101A"/>
          <w:sz w:val="24"/>
          <w:szCs w:val="24"/>
        </w:rPr>
        <w:t xml:space="preserve"> Goodman-</w:t>
      </w:r>
      <w:proofErr w:type="spellStart"/>
      <w:r w:rsidRPr="007D589C">
        <w:rPr>
          <w:rFonts w:ascii="Times New Roman" w:hAnsi="Times New Roman" w:cs="Times New Roman"/>
          <w:color w:val="0E101A"/>
          <w:sz w:val="24"/>
          <w:szCs w:val="24"/>
        </w:rPr>
        <w:t>Delahunty</w:t>
      </w:r>
      <w:proofErr w:type="spellEnd"/>
      <w:r w:rsidRPr="007D589C">
        <w:rPr>
          <w:rFonts w:ascii="Times New Roman" w:hAnsi="Times New Roman" w:cs="Times New Roman"/>
          <w:color w:val="0E101A"/>
          <w:sz w:val="24"/>
          <w:szCs w:val="24"/>
        </w:rPr>
        <w:t xml:space="preserve"> et. al. (2017) and these were expanded on to include further questions that assessed other aspects of testimonial competence. The questionnaire included several sub-sections, and all bar one (cf. demographic information; 5 items) were presented with a 6-point Likert </w:t>
      </w:r>
      <w:commentRangeStart w:id="5"/>
      <w:r w:rsidRPr="007D589C">
        <w:rPr>
          <w:rFonts w:ascii="Times New Roman" w:hAnsi="Times New Roman" w:cs="Times New Roman"/>
          <w:color w:val="0E101A"/>
          <w:sz w:val="24"/>
          <w:szCs w:val="24"/>
        </w:rPr>
        <w:t>scale</w:t>
      </w:r>
      <w:commentRangeEnd w:id="5"/>
      <w:r w:rsidRPr="007D589C">
        <w:rPr>
          <w:rStyle w:val="CommentReference"/>
          <w:rFonts w:ascii="Times New Roman" w:hAnsi="Times New Roman" w:cs="Times New Roman"/>
          <w:sz w:val="24"/>
          <w:szCs w:val="24"/>
        </w:rPr>
        <w:commentReference w:id="5"/>
      </w:r>
      <w:r w:rsidRPr="007D589C">
        <w:rPr>
          <w:rFonts w:ascii="Times New Roman" w:hAnsi="Times New Roman" w:cs="Times New Roman"/>
          <w:color w:val="0E101A"/>
          <w:sz w:val="24"/>
          <w:szCs w:val="24"/>
        </w:rPr>
        <w:t xml:space="preserve"> (1 = strongly disagree, 6 = strongly agree; see Appendix B) making the choices intentionally forced, though a “don’t know” option was available. The subsections relevant to this study included </w:t>
      </w:r>
      <w:r w:rsidRPr="007D589C">
        <w:rPr>
          <w:rFonts w:ascii="Times New Roman" w:hAnsi="Times New Roman" w:cs="Times New Roman"/>
          <w:sz w:val="24"/>
          <w:szCs w:val="24"/>
        </w:rPr>
        <w:t>disclosure of memory (1 item), suggestibility (6 items), ability to testify in court (6 items). These asked about: pre-schoolers (3-5 years), children in middle childhood (6-11 years), adults (18+), CWID, and AWID.</w:t>
      </w:r>
    </w:p>
    <w:p w14:paraId="2ADE93FD" w14:textId="77777777" w:rsidR="005348B3" w:rsidRPr="007D589C" w:rsidRDefault="005348B3" w:rsidP="005348B3">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2.3. Procedure </w:t>
      </w:r>
    </w:p>
    <w:p w14:paraId="37E01D7D" w14:textId="77777777" w:rsidR="005348B3" w:rsidRPr="007D589C" w:rsidRDefault="005348B3" w:rsidP="005348B3">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Instructions, materials, and consents were distributed via the survey package Qualtrics. Qualtrics’ Panels service recruited participants. Participants </w:t>
      </w:r>
      <w:commentRangeStart w:id="6"/>
      <w:r w:rsidRPr="007D589C">
        <w:rPr>
          <w:rFonts w:ascii="Times New Roman" w:hAnsi="Times New Roman" w:cs="Times New Roman"/>
          <w:color w:val="0E101A"/>
          <w:sz w:val="24"/>
          <w:szCs w:val="24"/>
        </w:rPr>
        <w:t xml:space="preserve">clicked </w:t>
      </w:r>
      <w:commentRangeEnd w:id="6"/>
      <w:r w:rsidRPr="007D589C">
        <w:rPr>
          <w:rStyle w:val="CommentReference"/>
          <w:rFonts w:ascii="Times New Roman" w:hAnsi="Times New Roman" w:cs="Times New Roman"/>
          <w:sz w:val="24"/>
          <w:szCs w:val="24"/>
        </w:rPr>
        <w:commentReference w:id="6"/>
      </w:r>
      <w:r w:rsidRPr="007D589C">
        <w:rPr>
          <w:rFonts w:ascii="Times New Roman" w:hAnsi="Times New Roman" w:cs="Times New Roman"/>
          <w:color w:val="0E101A"/>
          <w:sz w:val="24"/>
          <w:szCs w:val="24"/>
        </w:rPr>
        <w:t>an anonymous link</w:t>
      </w:r>
      <w:r w:rsidRPr="007D589C">
        <w:rPr>
          <w:rFonts w:ascii="Times New Roman" w:hAnsi="Times New Roman" w:cs="Times New Roman"/>
          <w:sz w:val="24"/>
          <w:szCs w:val="24"/>
        </w:rPr>
        <w:t xml:space="preserve"> </w:t>
      </w:r>
      <w:r w:rsidRPr="007D589C">
        <w:rPr>
          <w:rFonts w:ascii="Times New Roman" w:hAnsi="Times New Roman" w:cs="Times New Roman"/>
          <w:color w:val="0E101A"/>
          <w:sz w:val="24"/>
          <w:szCs w:val="24"/>
        </w:rPr>
        <w:t xml:space="preserve">which emailed to them a link </w:t>
      </w:r>
      <w:r w:rsidRPr="007D589C">
        <w:rPr>
          <w:rFonts w:ascii="Times New Roman" w:hAnsi="Times New Roman" w:cs="Times New Roman"/>
          <w:sz w:val="24"/>
          <w:szCs w:val="24"/>
        </w:rPr>
        <w:t>(see Appendix C)</w:t>
      </w:r>
      <w:r w:rsidRPr="007D589C">
        <w:rPr>
          <w:rFonts w:ascii="Times New Roman" w:hAnsi="Times New Roman" w:cs="Times New Roman"/>
          <w:color w:val="0E101A"/>
          <w:sz w:val="24"/>
          <w:szCs w:val="24"/>
        </w:rPr>
        <w:t xml:space="preserve"> which directed them to a participant information page. After consenting to the research, participants were screened for their jury service eligibility in New Zealand. Thereafter, if eligible, participants began the survey which took approximately </w:t>
      </w:r>
      <w:r w:rsidRPr="007D589C">
        <w:rPr>
          <w:rFonts w:ascii="Times New Roman" w:hAnsi="Times New Roman" w:cs="Times New Roman"/>
          <w:color w:val="0E101A"/>
          <w:sz w:val="24"/>
          <w:szCs w:val="24"/>
        </w:rPr>
        <w:lastRenderedPageBreak/>
        <w:t xml:space="preserve">25 minutes, and consisted of a 59-item </w:t>
      </w:r>
      <w:commentRangeStart w:id="7"/>
      <w:commentRangeStart w:id="8"/>
      <w:r w:rsidRPr="007D589C">
        <w:rPr>
          <w:rFonts w:ascii="Times New Roman" w:hAnsi="Times New Roman" w:cs="Times New Roman"/>
          <w:color w:val="0E101A"/>
          <w:sz w:val="24"/>
          <w:szCs w:val="24"/>
        </w:rPr>
        <w:t>questionnaire</w:t>
      </w:r>
      <w:commentRangeEnd w:id="7"/>
      <w:r w:rsidRPr="007D589C">
        <w:rPr>
          <w:rStyle w:val="CommentReference"/>
          <w:rFonts w:ascii="Times New Roman" w:hAnsi="Times New Roman" w:cs="Times New Roman"/>
          <w:sz w:val="24"/>
          <w:szCs w:val="24"/>
        </w:rPr>
        <w:commentReference w:id="7"/>
      </w:r>
      <w:commentRangeEnd w:id="8"/>
      <w:r w:rsidRPr="007D589C">
        <w:rPr>
          <w:rStyle w:val="CommentReference"/>
          <w:rFonts w:ascii="Times New Roman" w:hAnsi="Times New Roman" w:cs="Times New Roman"/>
          <w:sz w:val="24"/>
          <w:szCs w:val="24"/>
        </w:rPr>
        <w:commentReference w:id="8"/>
      </w:r>
      <w:r w:rsidRPr="007D589C">
        <w:rPr>
          <w:rFonts w:ascii="Times New Roman" w:hAnsi="Times New Roman" w:cs="Times New Roman"/>
          <w:color w:val="0E101A"/>
          <w:sz w:val="24"/>
          <w:szCs w:val="24"/>
        </w:rPr>
        <w:t xml:space="preserve"> with Likert scale items and free text responses, the latter of which are not included in this study. Upon completion, participants were thanked, debriefed on the survey’s purpose, and directed to resources as well as information on where to find results. </w:t>
      </w:r>
    </w:p>
    <w:p w14:paraId="2BD81050" w14:textId="77777777" w:rsidR="005348B3" w:rsidRPr="007D589C" w:rsidRDefault="005348B3" w:rsidP="005348B3">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2.4. Descriptive Statistics</w:t>
      </w:r>
    </w:p>
    <w:p w14:paraId="1AF6A6FB" w14:textId="77777777" w:rsidR="005348B3" w:rsidRPr="007D589C" w:rsidRDefault="005348B3" w:rsidP="005348B3">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 xml:space="preserve">Each evaluative score (1-6) was included in our analyses, and the </w:t>
      </w:r>
      <w:r w:rsidRPr="007D589C">
        <w:rPr>
          <w:rFonts w:ascii="Times New Roman" w:hAnsi="Times New Roman" w:cs="Times New Roman"/>
          <w:color w:val="0E101A"/>
          <w:sz w:val="24"/>
          <w:szCs w:val="24"/>
        </w:rPr>
        <w:t>“don’t know” response was excluded would not inform our hypotheses on evaluative beliefs by jurors. Full descriptive statistics are included in table 2. The averaged evaluations of CWID were lower in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2.98,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1.32) and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3.41,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0.99) and higher in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4.07,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1.03), a trend reflected in the pre-school (</w:t>
      </w:r>
      <w:proofErr w:type="gramStart"/>
      <w:r w:rsidRPr="007D589C">
        <w:rPr>
          <w:rFonts w:ascii="Times New Roman" w:hAnsi="Times New Roman" w:cs="Times New Roman"/>
          <w:color w:val="0E101A"/>
          <w:sz w:val="24"/>
          <w:szCs w:val="24"/>
        </w:rPr>
        <w:t>e.g.</w:t>
      </w:r>
      <w:proofErr w:type="gramEnd"/>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2.66,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1.40; suggestibility: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4.06,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1.03) groups. Moderate scores were typical of all measures for the middle childhood (</w:t>
      </w:r>
      <w:proofErr w:type="gramStart"/>
      <w:r w:rsidRPr="007D589C">
        <w:rPr>
          <w:rFonts w:ascii="Times New Roman" w:hAnsi="Times New Roman" w:cs="Times New Roman"/>
          <w:color w:val="0E101A"/>
          <w:sz w:val="24"/>
          <w:szCs w:val="24"/>
        </w:rPr>
        <w:t>e.g.</w:t>
      </w:r>
      <w:proofErr w:type="gramEnd"/>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3.59,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1.33) and AWID (e.g.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3.71,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1.02) groups. TD Adults had higher scores on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5.24,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1.37),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4.92,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xml:space="preserve">= 1.03), and moderate suggestibility scores. Full descriptive statistics are included in table 2. </w:t>
      </w:r>
    </w:p>
    <w:p w14:paraId="03709D77" w14:textId="77777777" w:rsidR="005348B3" w:rsidRPr="007D589C" w:rsidRDefault="005348B3" w:rsidP="005348B3">
      <w:pPr>
        <w:rPr>
          <w:rFonts w:ascii="Times New Roman" w:hAnsi="Times New Roman" w:cs="Times New Roman"/>
          <w:sz w:val="24"/>
          <w:szCs w:val="24"/>
        </w:rPr>
      </w:pPr>
      <w:r w:rsidRPr="007D589C">
        <w:rPr>
          <w:rFonts w:ascii="Times New Roman" w:hAnsi="Times New Roman" w:cs="Times New Roman"/>
          <w:sz w:val="24"/>
          <w:szCs w:val="24"/>
        </w:rPr>
        <w:t>Table 2.</w:t>
      </w:r>
    </w:p>
    <w:p w14:paraId="12558D24" w14:textId="77777777" w:rsidR="005348B3" w:rsidRPr="007D589C" w:rsidRDefault="005348B3" w:rsidP="005348B3">
      <w:pPr>
        <w:rPr>
          <w:rFonts w:ascii="Times New Roman" w:hAnsi="Times New Roman" w:cs="Times New Roman"/>
          <w:i/>
          <w:iCs/>
          <w:sz w:val="24"/>
          <w:szCs w:val="24"/>
        </w:rPr>
      </w:pPr>
      <w:r w:rsidRPr="007D589C">
        <w:rPr>
          <w:rFonts w:ascii="Times New Roman" w:hAnsi="Times New Roman" w:cs="Times New Roman"/>
          <w:i/>
          <w:iCs/>
          <w:sz w:val="24"/>
          <w:szCs w:val="24"/>
        </w:rPr>
        <w:t>Mean (M) and Standard Deviation (SD) Scores across the study’s measures.</w:t>
      </w:r>
    </w:p>
    <w:tbl>
      <w:tblPr>
        <w:tblStyle w:val="Table"/>
        <w:tblW w:w="5000" w:type="pct"/>
        <w:tblInd w:w="0" w:type="dxa"/>
        <w:tblLook w:val="0020" w:firstRow="1" w:lastRow="0" w:firstColumn="0" w:lastColumn="0" w:noHBand="0" w:noVBand="0"/>
      </w:tblPr>
      <w:tblGrid>
        <w:gridCol w:w="7194"/>
        <w:gridCol w:w="916"/>
        <w:gridCol w:w="916"/>
      </w:tblGrid>
      <w:tr w:rsidR="005348B3" w:rsidRPr="007D589C" w14:paraId="7A9CC4F5" w14:textId="77777777" w:rsidTr="00DB0A7C">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77144650"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Measure Titles</w:t>
            </w:r>
          </w:p>
        </w:tc>
        <w:tc>
          <w:tcPr>
            <w:tcW w:w="0" w:type="auto"/>
            <w:tcBorders>
              <w:top w:val="nil"/>
              <w:left w:val="nil"/>
              <w:right w:val="nil"/>
            </w:tcBorders>
            <w:hideMark/>
          </w:tcPr>
          <w:p w14:paraId="5FDA59A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M</w:t>
            </w:r>
          </w:p>
        </w:tc>
        <w:tc>
          <w:tcPr>
            <w:tcW w:w="0" w:type="auto"/>
            <w:tcBorders>
              <w:top w:val="nil"/>
              <w:left w:val="nil"/>
              <w:right w:val="nil"/>
            </w:tcBorders>
            <w:hideMark/>
          </w:tcPr>
          <w:p w14:paraId="56AE5FC4"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SD</w:t>
            </w:r>
          </w:p>
        </w:tc>
      </w:tr>
      <w:tr w:rsidR="005348B3" w:rsidRPr="007D589C" w14:paraId="5BDFA759" w14:textId="77777777" w:rsidTr="00DB0A7C">
        <w:trPr>
          <w:trHeight w:val="339"/>
        </w:trPr>
        <w:tc>
          <w:tcPr>
            <w:tcW w:w="0" w:type="auto"/>
            <w:hideMark/>
          </w:tcPr>
          <w:p w14:paraId="6B3CD44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Memory - CWID</w:t>
            </w:r>
          </w:p>
        </w:tc>
        <w:tc>
          <w:tcPr>
            <w:tcW w:w="0" w:type="auto"/>
            <w:hideMark/>
          </w:tcPr>
          <w:p w14:paraId="17A88994"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2.98</w:t>
            </w:r>
          </w:p>
        </w:tc>
        <w:tc>
          <w:tcPr>
            <w:tcW w:w="0" w:type="auto"/>
            <w:hideMark/>
          </w:tcPr>
          <w:p w14:paraId="37B2A7E4"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1.32</w:t>
            </w:r>
          </w:p>
        </w:tc>
      </w:tr>
      <w:tr w:rsidR="005348B3" w:rsidRPr="007D589C" w14:paraId="14C32459" w14:textId="77777777" w:rsidTr="00DB0A7C">
        <w:trPr>
          <w:trHeight w:val="339"/>
        </w:trPr>
        <w:tc>
          <w:tcPr>
            <w:tcW w:w="0" w:type="auto"/>
            <w:hideMark/>
          </w:tcPr>
          <w:p w14:paraId="2E23F32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CWID</w:t>
            </w:r>
          </w:p>
        </w:tc>
        <w:tc>
          <w:tcPr>
            <w:tcW w:w="0" w:type="auto"/>
            <w:hideMark/>
          </w:tcPr>
          <w:p w14:paraId="3433CF4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3.41</w:t>
            </w:r>
          </w:p>
        </w:tc>
        <w:tc>
          <w:tcPr>
            <w:tcW w:w="0" w:type="auto"/>
            <w:hideMark/>
          </w:tcPr>
          <w:p w14:paraId="42A37B6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0.99</w:t>
            </w:r>
          </w:p>
        </w:tc>
      </w:tr>
      <w:tr w:rsidR="005348B3" w:rsidRPr="007D589C" w14:paraId="291BE369" w14:textId="77777777" w:rsidTr="00DB0A7C">
        <w:trPr>
          <w:trHeight w:val="339"/>
        </w:trPr>
        <w:tc>
          <w:tcPr>
            <w:tcW w:w="0" w:type="auto"/>
            <w:hideMark/>
          </w:tcPr>
          <w:p w14:paraId="1D5627B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CWID</w:t>
            </w:r>
          </w:p>
        </w:tc>
        <w:tc>
          <w:tcPr>
            <w:tcW w:w="0" w:type="auto"/>
            <w:hideMark/>
          </w:tcPr>
          <w:p w14:paraId="0D3DCEC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4.07</w:t>
            </w:r>
          </w:p>
        </w:tc>
        <w:tc>
          <w:tcPr>
            <w:tcW w:w="0" w:type="auto"/>
            <w:hideMark/>
          </w:tcPr>
          <w:p w14:paraId="173360F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1.03</w:t>
            </w:r>
          </w:p>
        </w:tc>
      </w:tr>
      <w:tr w:rsidR="005348B3" w:rsidRPr="007D589C" w14:paraId="17C8AA3D" w14:textId="77777777" w:rsidTr="00DB0A7C">
        <w:trPr>
          <w:trHeight w:val="339"/>
        </w:trPr>
        <w:tc>
          <w:tcPr>
            <w:tcW w:w="0" w:type="auto"/>
            <w:hideMark/>
          </w:tcPr>
          <w:p w14:paraId="2DEFFA6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Memory - TD Child (ages 3-5)</w:t>
            </w:r>
          </w:p>
        </w:tc>
        <w:tc>
          <w:tcPr>
            <w:tcW w:w="0" w:type="auto"/>
            <w:hideMark/>
          </w:tcPr>
          <w:p w14:paraId="6A66114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2.66</w:t>
            </w:r>
          </w:p>
        </w:tc>
        <w:tc>
          <w:tcPr>
            <w:tcW w:w="0" w:type="auto"/>
            <w:hideMark/>
          </w:tcPr>
          <w:p w14:paraId="68B235D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1.40</w:t>
            </w:r>
          </w:p>
        </w:tc>
      </w:tr>
      <w:tr w:rsidR="005348B3" w:rsidRPr="007D589C" w14:paraId="55737D26" w14:textId="77777777" w:rsidTr="00DB0A7C">
        <w:trPr>
          <w:trHeight w:val="348"/>
        </w:trPr>
        <w:tc>
          <w:tcPr>
            <w:tcW w:w="0" w:type="auto"/>
            <w:hideMark/>
          </w:tcPr>
          <w:p w14:paraId="0837A8E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in Court - TD Child (ages 3-5)</w:t>
            </w:r>
          </w:p>
        </w:tc>
        <w:tc>
          <w:tcPr>
            <w:tcW w:w="0" w:type="auto"/>
            <w:hideMark/>
          </w:tcPr>
          <w:p w14:paraId="5A58398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3.18</w:t>
            </w:r>
          </w:p>
        </w:tc>
        <w:tc>
          <w:tcPr>
            <w:tcW w:w="0" w:type="auto"/>
            <w:hideMark/>
          </w:tcPr>
          <w:p w14:paraId="05A2E68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0.93</w:t>
            </w:r>
          </w:p>
        </w:tc>
      </w:tr>
      <w:tr w:rsidR="005348B3" w:rsidRPr="007D589C" w14:paraId="6BE6E116" w14:textId="77777777" w:rsidTr="00DB0A7C">
        <w:trPr>
          <w:trHeight w:val="339"/>
        </w:trPr>
        <w:tc>
          <w:tcPr>
            <w:tcW w:w="0" w:type="auto"/>
            <w:hideMark/>
          </w:tcPr>
          <w:p w14:paraId="4A94F10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Child (ages 3-5)</w:t>
            </w:r>
          </w:p>
        </w:tc>
        <w:tc>
          <w:tcPr>
            <w:tcW w:w="0" w:type="auto"/>
            <w:hideMark/>
          </w:tcPr>
          <w:p w14:paraId="4EF035D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4.06</w:t>
            </w:r>
          </w:p>
        </w:tc>
        <w:tc>
          <w:tcPr>
            <w:tcW w:w="0" w:type="auto"/>
            <w:hideMark/>
          </w:tcPr>
          <w:p w14:paraId="704D98A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1.03</w:t>
            </w:r>
          </w:p>
        </w:tc>
      </w:tr>
      <w:tr w:rsidR="005348B3" w:rsidRPr="007D589C" w14:paraId="0A7D2787" w14:textId="77777777" w:rsidTr="00DB0A7C">
        <w:trPr>
          <w:trHeight w:val="339"/>
        </w:trPr>
        <w:tc>
          <w:tcPr>
            <w:tcW w:w="0" w:type="auto"/>
            <w:hideMark/>
          </w:tcPr>
          <w:p w14:paraId="13560AB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Memory - TD Child (ages 6-11)</w:t>
            </w:r>
          </w:p>
        </w:tc>
        <w:tc>
          <w:tcPr>
            <w:tcW w:w="0" w:type="auto"/>
            <w:hideMark/>
          </w:tcPr>
          <w:p w14:paraId="66E5125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3.59</w:t>
            </w:r>
          </w:p>
        </w:tc>
        <w:tc>
          <w:tcPr>
            <w:tcW w:w="0" w:type="auto"/>
            <w:hideMark/>
          </w:tcPr>
          <w:p w14:paraId="7CFCD4D0"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1.33</w:t>
            </w:r>
          </w:p>
        </w:tc>
      </w:tr>
      <w:tr w:rsidR="005348B3" w:rsidRPr="007D589C" w14:paraId="736FEF53" w14:textId="77777777" w:rsidTr="00DB0A7C">
        <w:trPr>
          <w:trHeight w:val="339"/>
        </w:trPr>
        <w:tc>
          <w:tcPr>
            <w:tcW w:w="0" w:type="auto"/>
            <w:hideMark/>
          </w:tcPr>
          <w:p w14:paraId="7E62122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in Court - TD Child (ages 6-11)</w:t>
            </w:r>
          </w:p>
        </w:tc>
        <w:tc>
          <w:tcPr>
            <w:tcW w:w="0" w:type="auto"/>
            <w:hideMark/>
          </w:tcPr>
          <w:p w14:paraId="136021A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3.82</w:t>
            </w:r>
          </w:p>
        </w:tc>
        <w:tc>
          <w:tcPr>
            <w:tcW w:w="0" w:type="auto"/>
            <w:hideMark/>
          </w:tcPr>
          <w:p w14:paraId="69F83E0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0.87</w:t>
            </w:r>
          </w:p>
        </w:tc>
      </w:tr>
      <w:tr w:rsidR="005348B3" w:rsidRPr="007D589C" w14:paraId="3FA287BE" w14:textId="77777777" w:rsidTr="00DB0A7C">
        <w:trPr>
          <w:trHeight w:val="339"/>
        </w:trPr>
        <w:tc>
          <w:tcPr>
            <w:tcW w:w="0" w:type="auto"/>
            <w:hideMark/>
          </w:tcPr>
          <w:p w14:paraId="283D351F"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Child (ages 6-11)</w:t>
            </w:r>
          </w:p>
        </w:tc>
        <w:tc>
          <w:tcPr>
            <w:tcW w:w="0" w:type="auto"/>
            <w:hideMark/>
          </w:tcPr>
          <w:p w14:paraId="4F2BA460"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4.02</w:t>
            </w:r>
          </w:p>
        </w:tc>
        <w:tc>
          <w:tcPr>
            <w:tcW w:w="0" w:type="auto"/>
            <w:hideMark/>
          </w:tcPr>
          <w:p w14:paraId="584DE6F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0.90</w:t>
            </w:r>
          </w:p>
        </w:tc>
      </w:tr>
      <w:tr w:rsidR="005348B3" w:rsidRPr="007D589C" w14:paraId="14B231A3" w14:textId="77777777" w:rsidTr="00DB0A7C">
        <w:trPr>
          <w:trHeight w:val="348"/>
        </w:trPr>
        <w:tc>
          <w:tcPr>
            <w:tcW w:w="0" w:type="auto"/>
            <w:hideMark/>
          </w:tcPr>
          <w:p w14:paraId="593E611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Memory - AWID</w:t>
            </w:r>
          </w:p>
        </w:tc>
        <w:tc>
          <w:tcPr>
            <w:tcW w:w="0" w:type="auto"/>
            <w:hideMark/>
          </w:tcPr>
          <w:p w14:paraId="491F536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3.67</w:t>
            </w:r>
          </w:p>
        </w:tc>
        <w:tc>
          <w:tcPr>
            <w:tcW w:w="0" w:type="auto"/>
            <w:hideMark/>
          </w:tcPr>
          <w:p w14:paraId="51CF31B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1.30</w:t>
            </w:r>
          </w:p>
        </w:tc>
      </w:tr>
      <w:tr w:rsidR="005348B3" w:rsidRPr="007D589C" w14:paraId="5A271F3A" w14:textId="77777777" w:rsidTr="00DB0A7C">
        <w:trPr>
          <w:trHeight w:val="339"/>
        </w:trPr>
        <w:tc>
          <w:tcPr>
            <w:tcW w:w="0" w:type="auto"/>
            <w:hideMark/>
          </w:tcPr>
          <w:p w14:paraId="132707F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AWID</w:t>
            </w:r>
          </w:p>
        </w:tc>
        <w:tc>
          <w:tcPr>
            <w:tcW w:w="0" w:type="auto"/>
            <w:hideMark/>
          </w:tcPr>
          <w:p w14:paraId="5B6A6394"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3.85</w:t>
            </w:r>
          </w:p>
        </w:tc>
        <w:tc>
          <w:tcPr>
            <w:tcW w:w="0" w:type="auto"/>
            <w:hideMark/>
          </w:tcPr>
          <w:p w14:paraId="1B7B097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0.97</w:t>
            </w:r>
          </w:p>
        </w:tc>
      </w:tr>
      <w:tr w:rsidR="005348B3" w:rsidRPr="007D589C" w14:paraId="0B7963F0" w14:textId="77777777" w:rsidTr="00DB0A7C">
        <w:trPr>
          <w:trHeight w:val="339"/>
        </w:trPr>
        <w:tc>
          <w:tcPr>
            <w:tcW w:w="0" w:type="auto"/>
            <w:hideMark/>
          </w:tcPr>
          <w:p w14:paraId="29E5DDB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lastRenderedPageBreak/>
              <w:t>Suggestibility - AWID</w:t>
            </w:r>
          </w:p>
        </w:tc>
        <w:tc>
          <w:tcPr>
            <w:tcW w:w="0" w:type="auto"/>
            <w:hideMark/>
          </w:tcPr>
          <w:p w14:paraId="7277BA0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3.71</w:t>
            </w:r>
          </w:p>
        </w:tc>
        <w:tc>
          <w:tcPr>
            <w:tcW w:w="0" w:type="auto"/>
            <w:hideMark/>
          </w:tcPr>
          <w:p w14:paraId="762884B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1.02</w:t>
            </w:r>
          </w:p>
        </w:tc>
      </w:tr>
      <w:tr w:rsidR="005348B3" w:rsidRPr="007D589C" w14:paraId="5B0CCF7F" w14:textId="77777777" w:rsidTr="00DB0A7C">
        <w:trPr>
          <w:trHeight w:val="339"/>
        </w:trPr>
        <w:tc>
          <w:tcPr>
            <w:tcW w:w="0" w:type="auto"/>
            <w:hideMark/>
          </w:tcPr>
          <w:p w14:paraId="4AFBABD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Memory - TD Adult</w:t>
            </w:r>
          </w:p>
        </w:tc>
        <w:tc>
          <w:tcPr>
            <w:tcW w:w="0" w:type="auto"/>
            <w:hideMark/>
          </w:tcPr>
          <w:p w14:paraId="33FCB6D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5.24</w:t>
            </w:r>
          </w:p>
        </w:tc>
        <w:tc>
          <w:tcPr>
            <w:tcW w:w="0" w:type="auto"/>
            <w:hideMark/>
          </w:tcPr>
          <w:p w14:paraId="00FF3E7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1.37</w:t>
            </w:r>
          </w:p>
        </w:tc>
      </w:tr>
      <w:tr w:rsidR="005348B3" w:rsidRPr="007D589C" w14:paraId="7EE10D29" w14:textId="77777777" w:rsidTr="00DB0A7C">
        <w:trPr>
          <w:trHeight w:val="339"/>
        </w:trPr>
        <w:tc>
          <w:tcPr>
            <w:tcW w:w="0" w:type="auto"/>
            <w:hideMark/>
          </w:tcPr>
          <w:p w14:paraId="15811AA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TD Adult</w:t>
            </w:r>
          </w:p>
        </w:tc>
        <w:tc>
          <w:tcPr>
            <w:tcW w:w="0" w:type="auto"/>
            <w:hideMark/>
          </w:tcPr>
          <w:p w14:paraId="14E90E2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4.92</w:t>
            </w:r>
          </w:p>
        </w:tc>
        <w:tc>
          <w:tcPr>
            <w:tcW w:w="0" w:type="auto"/>
            <w:hideMark/>
          </w:tcPr>
          <w:p w14:paraId="4BCFD31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0.64</w:t>
            </w:r>
          </w:p>
        </w:tc>
      </w:tr>
      <w:tr w:rsidR="005348B3" w:rsidRPr="007D589C" w14:paraId="520E39B3" w14:textId="77777777" w:rsidTr="00DB0A7C">
        <w:trPr>
          <w:trHeight w:val="339"/>
        </w:trPr>
        <w:tc>
          <w:tcPr>
            <w:tcW w:w="0" w:type="auto"/>
            <w:hideMark/>
          </w:tcPr>
          <w:p w14:paraId="1AC2E3D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Adult</w:t>
            </w:r>
          </w:p>
        </w:tc>
        <w:tc>
          <w:tcPr>
            <w:tcW w:w="0" w:type="auto"/>
            <w:hideMark/>
          </w:tcPr>
          <w:p w14:paraId="41AC8CC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3.08</w:t>
            </w:r>
          </w:p>
        </w:tc>
        <w:tc>
          <w:tcPr>
            <w:tcW w:w="0" w:type="auto"/>
            <w:hideMark/>
          </w:tcPr>
          <w:p w14:paraId="13A23D1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1.12</w:t>
            </w:r>
          </w:p>
        </w:tc>
      </w:tr>
    </w:tbl>
    <w:p w14:paraId="06C87786" w14:textId="77777777" w:rsidR="005348B3" w:rsidRPr="007D589C" w:rsidRDefault="005348B3" w:rsidP="005348B3">
      <w:pPr>
        <w:rPr>
          <w:rFonts w:ascii="Times New Roman" w:hAnsi="Times New Roman" w:cs="Times New Roman"/>
          <w:sz w:val="24"/>
          <w:szCs w:val="24"/>
        </w:rPr>
      </w:pPr>
    </w:p>
    <w:p w14:paraId="539E0DF2" w14:textId="77777777" w:rsidR="005348B3" w:rsidRPr="007D589C" w:rsidRDefault="005348B3" w:rsidP="005348B3">
      <w:pPr>
        <w:pStyle w:val="Heading2"/>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2.5. Reliability</w:t>
      </w:r>
    </w:p>
    <w:p w14:paraId="7189D494" w14:textId="77777777" w:rsidR="005348B3" w:rsidRPr="007D589C" w:rsidRDefault="005348B3" w:rsidP="005348B3">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 xml:space="preserve">Averaged-scale scores of the ability to testify and suggestibility items were analysed using Cronbach’s Alpha, Omega, and Coefficient H. Scores are reproduced in table 3. Using this reliability triad, rather than Cronbach’s alpha alone which is standard, enables us to make </w:t>
      </w:r>
      <w:proofErr w:type="gramStart"/>
      <w:r w:rsidRPr="007D589C">
        <w:rPr>
          <w:rFonts w:ascii="Times New Roman" w:hAnsi="Times New Roman" w:cs="Times New Roman"/>
          <w:sz w:val="24"/>
          <w:szCs w:val="24"/>
        </w:rPr>
        <w:t>less</w:t>
      </w:r>
      <w:proofErr w:type="gramEnd"/>
      <w:r w:rsidRPr="007D589C">
        <w:rPr>
          <w:rFonts w:ascii="Times New Roman" w:hAnsi="Times New Roman" w:cs="Times New Roman"/>
          <w:sz w:val="24"/>
          <w:szCs w:val="24"/>
        </w:rPr>
        <w:t xml:space="preserve"> rigid assumptions, and provide higher estimates of reliability (</w:t>
      </w:r>
      <w:proofErr w:type="spellStart"/>
      <w:r w:rsidRPr="007D589C">
        <w:rPr>
          <w:rFonts w:ascii="Times New Roman" w:hAnsi="Times New Roman" w:cs="Times New Roman"/>
          <w:sz w:val="24"/>
          <w:szCs w:val="24"/>
        </w:rPr>
        <w:t>McNeish</w:t>
      </w:r>
      <w:proofErr w:type="spellEnd"/>
      <w:r w:rsidRPr="007D589C">
        <w:rPr>
          <w:rFonts w:ascii="Times New Roman" w:hAnsi="Times New Roman" w:cs="Times New Roman"/>
          <w:sz w:val="24"/>
          <w:szCs w:val="24"/>
        </w:rPr>
        <w:t>, 2018). It is likewise efficacious because the assumptions of Cronbach’s alpha (</w:t>
      </w:r>
      <w:proofErr w:type="gramStart"/>
      <w:r w:rsidRPr="007D589C">
        <w:rPr>
          <w:rFonts w:ascii="Times New Roman" w:hAnsi="Times New Roman" w:cs="Times New Roman"/>
          <w:sz w:val="24"/>
          <w:szCs w:val="24"/>
        </w:rPr>
        <w:t>e.g.</w:t>
      </w:r>
      <w:proofErr w:type="gramEnd"/>
      <w:r w:rsidRPr="007D589C">
        <w:rPr>
          <w:rFonts w:ascii="Times New Roman" w:hAnsi="Times New Roman" w:cs="Times New Roman"/>
          <w:sz w:val="24"/>
          <w:szCs w:val="24"/>
        </w:rPr>
        <w:t xml:space="preserve"> tau equivalence, unidimensionality, uncorrelated errors, and normal distribution) are seldom met. In all, our measures maintained good reliability. Except for the ability to testify for TD Adult’s item (α = .38), all items had a Cronbach’s Alpha near .70. All Omega’s were above .75, and all Coefficient </w:t>
      </w:r>
      <w:proofErr w:type="gramStart"/>
      <w:r w:rsidRPr="007D589C">
        <w:rPr>
          <w:rFonts w:ascii="Times New Roman" w:hAnsi="Times New Roman" w:cs="Times New Roman"/>
          <w:sz w:val="24"/>
          <w:szCs w:val="24"/>
        </w:rPr>
        <w:t>H’s</w:t>
      </w:r>
      <w:proofErr w:type="gramEnd"/>
      <w:r w:rsidRPr="007D589C">
        <w:rPr>
          <w:rFonts w:ascii="Times New Roman" w:hAnsi="Times New Roman" w:cs="Times New Roman"/>
          <w:sz w:val="24"/>
          <w:szCs w:val="24"/>
        </w:rPr>
        <w:t xml:space="preserve"> were above .80, apart from the ability to testify for TD Adult’s item (H = .76). The memory measure only had one item, so no reliability score could be calculated, but can be assumed to be a reliable measure based on the literature. </w:t>
      </w:r>
    </w:p>
    <w:p w14:paraId="4FAD1F89" w14:textId="77777777" w:rsidR="005348B3" w:rsidRPr="007D589C" w:rsidRDefault="005348B3" w:rsidP="005348B3">
      <w:pPr>
        <w:rPr>
          <w:rFonts w:ascii="Times New Roman" w:hAnsi="Times New Roman" w:cs="Times New Roman"/>
          <w:sz w:val="24"/>
          <w:szCs w:val="24"/>
        </w:rPr>
      </w:pPr>
      <w:r w:rsidRPr="007D589C">
        <w:rPr>
          <w:rFonts w:ascii="Times New Roman" w:hAnsi="Times New Roman" w:cs="Times New Roman"/>
          <w:sz w:val="24"/>
          <w:szCs w:val="24"/>
        </w:rPr>
        <w:t xml:space="preserve">Table 3. </w:t>
      </w:r>
    </w:p>
    <w:p w14:paraId="3F9FA8A8" w14:textId="77777777" w:rsidR="005348B3" w:rsidRPr="007D589C" w:rsidRDefault="005348B3" w:rsidP="005348B3">
      <w:pPr>
        <w:rPr>
          <w:rFonts w:ascii="Times New Roman" w:hAnsi="Times New Roman" w:cs="Times New Roman"/>
          <w:i/>
          <w:iCs/>
          <w:sz w:val="24"/>
          <w:szCs w:val="24"/>
        </w:rPr>
      </w:pPr>
      <w:r w:rsidRPr="007D589C">
        <w:rPr>
          <w:rFonts w:ascii="Times New Roman" w:hAnsi="Times New Roman" w:cs="Times New Roman"/>
          <w:i/>
          <w:iCs/>
          <w:sz w:val="24"/>
          <w:szCs w:val="24"/>
        </w:rPr>
        <w:t>Reliability Scores across the Ability to Testify and Suggestibility measures</w:t>
      </w:r>
    </w:p>
    <w:tbl>
      <w:tblPr>
        <w:tblStyle w:val="Table"/>
        <w:tblW w:w="5391" w:type="pct"/>
        <w:tblInd w:w="0" w:type="dxa"/>
        <w:tblLook w:val="0020" w:firstRow="1" w:lastRow="0" w:firstColumn="0" w:lastColumn="0" w:noHBand="0" w:noVBand="0"/>
      </w:tblPr>
      <w:tblGrid>
        <w:gridCol w:w="6533"/>
        <w:gridCol w:w="1119"/>
        <w:gridCol w:w="1040"/>
        <w:gridCol w:w="1040"/>
      </w:tblGrid>
      <w:tr w:rsidR="005348B3" w:rsidRPr="007D589C" w14:paraId="32EA706A" w14:textId="77777777" w:rsidTr="00DB0A7C">
        <w:trPr>
          <w:cnfStyle w:val="100000000000" w:firstRow="1" w:lastRow="0" w:firstColumn="0" w:lastColumn="0" w:oddVBand="0" w:evenVBand="0" w:oddHBand="0" w:evenHBand="0" w:firstRowFirstColumn="0" w:firstRowLastColumn="0" w:lastRowFirstColumn="0" w:lastRowLastColumn="0"/>
          <w:trHeight w:val="319"/>
        </w:trPr>
        <w:tc>
          <w:tcPr>
            <w:tcW w:w="3357" w:type="pct"/>
            <w:tcBorders>
              <w:top w:val="nil"/>
              <w:left w:val="nil"/>
              <w:right w:val="nil"/>
            </w:tcBorders>
            <w:hideMark/>
          </w:tcPr>
          <w:p w14:paraId="6B15FF5C"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Measure Titles</w:t>
            </w:r>
          </w:p>
        </w:tc>
        <w:tc>
          <w:tcPr>
            <w:tcW w:w="575" w:type="pct"/>
            <w:tcBorders>
              <w:top w:val="nil"/>
              <w:left w:val="nil"/>
              <w:right w:val="nil"/>
            </w:tcBorders>
            <w:hideMark/>
          </w:tcPr>
          <w:p w14:paraId="45F24D74"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α</w:t>
            </w:r>
          </w:p>
        </w:tc>
        <w:tc>
          <w:tcPr>
            <w:tcW w:w="0" w:type="auto"/>
            <w:tcBorders>
              <w:top w:val="nil"/>
              <w:left w:val="nil"/>
              <w:right w:val="nil"/>
            </w:tcBorders>
            <w:hideMark/>
          </w:tcPr>
          <w:p w14:paraId="7B923DA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ω</w:t>
            </w:r>
          </w:p>
        </w:tc>
        <w:tc>
          <w:tcPr>
            <w:tcW w:w="0" w:type="auto"/>
            <w:tcBorders>
              <w:top w:val="nil"/>
              <w:left w:val="nil"/>
              <w:right w:val="nil"/>
            </w:tcBorders>
            <w:hideMark/>
          </w:tcPr>
          <w:p w14:paraId="3454C3D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 xml:space="preserve"> H</w:t>
            </w:r>
          </w:p>
        </w:tc>
      </w:tr>
      <w:tr w:rsidR="005348B3" w:rsidRPr="007D589C" w14:paraId="5FAEDBE3" w14:textId="77777777" w:rsidTr="00DB0A7C">
        <w:trPr>
          <w:trHeight w:val="319"/>
        </w:trPr>
        <w:tc>
          <w:tcPr>
            <w:tcW w:w="0" w:type="auto"/>
            <w:hideMark/>
          </w:tcPr>
          <w:p w14:paraId="66E773C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CWID</w:t>
            </w:r>
          </w:p>
        </w:tc>
        <w:tc>
          <w:tcPr>
            <w:tcW w:w="0" w:type="auto"/>
            <w:hideMark/>
          </w:tcPr>
          <w:p w14:paraId="5850F73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.70</w:t>
            </w:r>
          </w:p>
        </w:tc>
        <w:tc>
          <w:tcPr>
            <w:tcW w:w="0" w:type="auto"/>
            <w:hideMark/>
          </w:tcPr>
          <w:p w14:paraId="352846E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.80</w:t>
            </w:r>
          </w:p>
        </w:tc>
        <w:tc>
          <w:tcPr>
            <w:tcW w:w="0" w:type="auto"/>
            <w:hideMark/>
          </w:tcPr>
          <w:p w14:paraId="6535E56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.85</w:t>
            </w:r>
          </w:p>
        </w:tc>
      </w:tr>
      <w:tr w:rsidR="005348B3" w:rsidRPr="007D589C" w14:paraId="6F062732" w14:textId="77777777" w:rsidTr="00DB0A7C">
        <w:trPr>
          <w:trHeight w:val="319"/>
        </w:trPr>
        <w:tc>
          <w:tcPr>
            <w:tcW w:w="0" w:type="auto"/>
            <w:hideMark/>
          </w:tcPr>
          <w:p w14:paraId="52367F2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CWID</w:t>
            </w:r>
          </w:p>
        </w:tc>
        <w:tc>
          <w:tcPr>
            <w:tcW w:w="0" w:type="auto"/>
            <w:hideMark/>
          </w:tcPr>
          <w:p w14:paraId="0FB83C3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.71</w:t>
            </w:r>
          </w:p>
        </w:tc>
        <w:tc>
          <w:tcPr>
            <w:tcW w:w="0" w:type="auto"/>
            <w:hideMark/>
          </w:tcPr>
          <w:p w14:paraId="29EB6718"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.76</w:t>
            </w:r>
          </w:p>
        </w:tc>
        <w:tc>
          <w:tcPr>
            <w:tcW w:w="0" w:type="auto"/>
            <w:hideMark/>
          </w:tcPr>
          <w:p w14:paraId="46DEDE6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.80</w:t>
            </w:r>
          </w:p>
        </w:tc>
      </w:tr>
      <w:tr w:rsidR="005348B3" w:rsidRPr="007D589C" w14:paraId="04CA1CEA" w14:textId="77777777" w:rsidTr="00DB0A7C">
        <w:trPr>
          <w:trHeight w:val="324"/>
        </w:trPr>
        <w:tc>
          <w:tcPr>
            <w:tcW w:w="0" w:type="auto"/>
            <w:hideMark/>
          </w:tcPr>
          <w:p w14:paraId="5A1AA1F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in Court – TD Child (ages 3-5)</w:t>
            </w:r>
          </w:p>
        </w:tc>
        <w:tc>
          <w:tcPr>
            <w:tcW w:w="0" w:type="auto"/>
            <w:hideMark/>
          </w:tcPr>
          <w:p w14:paraId="4AC3B9A0"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.68</w:t>
            </w:r>
          </w:p>
        </w:tc>
        <w:tc>
          <w:tcPr>
            <w:tcW w:w="0" w:type="auto"/>
            <w:hideMark/>
          </w:tcPr>
          <w:p w14:paraId="51B4FA8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.78</w:t>
            </w:r>
          </w:p>
        </w:tc>
        <w:tc>
          <w:tcPr>
            <w:tcW w:w="0" w:type="auto"/>
            <w:hideMark/>
          </w:tcPr>
          <w:p w14:paraId="26FAF65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.84</w:t>
            </w:r>
          </w:p>
        </w:tc>
      </w:tr>
      <w:tr w:rsidR="005348B3" w:rsidRPr="007D589C" w14:paraId="5F3FA461" w14:textId="77777777" w:rsidTr="00DB0A7C">
        <w:trPr>
          <w:trHeight w:val="319"/>
        </w:trPr>
        <w:tc>
          <w:tcPr>
            <w:tcW w:w="0" w:type="auto"/>
            <w:hideMark/>
          </w:tcPr>
          <w:p w14:paraId="58C3E94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Child (ages 3-5)</w:t>
            </w:r>
          </w:p>
        </w:tc>
        <w:tc>
          <w:tcPr>
            <w:tcW w:w="0" w:type="auto"/>
            <w:hideMark/>
          </w:tcPr>
          <w:p w14:paraId="6ED9A322"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.70</w:t>
            </w:r>
          </w:p>
        </w:tc>
        <w:tc>
          <w:tcPr>
            <w:tcW w:w="0" w:type="auto"/>
            <w:hideMark/>
          </w:tcPr>
          <w:p w14:paraId="2E5434B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.84</w:t>
            </w:r>
          </w:p>
        </w:tc>
        <w:tc>
          <w:tcPr>
            <w:tcW w:w="0" w:type="auto"/>
            <w:hideMark/>
          </w:tcPr>
          <w:p w14:paraId="6F77BAA1"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.84</w:t>
            </w:r>
          </w:p>
        </w:tc>
      </w:tr>
      <w:tr w:rsidR="005348B3" w:rsidRPr="007D589C" w14:paraId="339073BD" w14:textId="77777777" w:rsidTr="00DB0A7C">
        <w:trPr>
          <w:trHeight w:val="319"/>
        </w:trPr>
        <w:tc>
          <w:tcPr>
            <w:tcW w:w="0" w:type="auto"/>
            <w:hideMark/>
          </w:tcPr>
          <w:p w14:paraId="2791FAA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in Court – TD Child (ages 6-11)</w:t>
            </w:r>
          </w:p>
        </w:tc>
        <w:tc>
          <w:tcPr>
            <w:tcW w:w="0" w:type="auto"/>
            <w:hideMark/>
          </w:tcPr>
          <w:p w14:paraId="264A85B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.69</w:t>
            </w:r>
          </w:p>
        </w:tc>
        <w:tc>
          <w:tcPr>
            <w:tcW w:w="0" w:type="auto"/>
            <w:hideMark/>
          </w:tcPr>
          <w:p w14:paraId="13F92A5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.78</w:t>
            </w:r>
          </w:p>
        </w:tc>
        <w:tc>
          <w:tcPr>
            <w:tcW w:w="0" w:type="auto"/>
            <w:hideMark/>
          </w:tcPr>
          <w:p w14:paraId="58D9B8B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.85</w:t>
            </w:r>
          </w:p>
        </w:tc>
      </w:tr>
      <w:tr w:rsidR="005348B3" w:rsidRPr="007D589C" w14:paraId="452A4744" w14:textId="77777777" w:rsidTr="00DB0A7C">
        <w:trPr>
          <w:trHeight w:val="319"/>
        </w:trPr>
        <w:tc>
          <w:tcPr>
            <w:tcW w:w="0" w:type="auto"/>
            <w:hideMark/>
          </w:tcPr>
          <w:p w14:paraId="47B4EE0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Child (ages 6-11)</w:t>
            </w:r>
          </w:p>
        </w:tc>
        <w:tc>
          <w:tcPr>
            <w:tcW w:w="0" w:type="auto"/>
            <w:hideMark/>
          </w:tcPr>
          <w:p w14:paraId="031C709E"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.69</w:t>
            </w:r>
          </w:p>
        </w:tc>
        <w:tc>
          <w:tcPr>
            <w:tcW w:w="0" w:type="auto"/>
            <w:hideMark/>
          </w:tcPr>
          <w:p w14:paraId="75190A5A"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.75</w:t>
            </w:r>
          </w:p>
        </w:tc>
        <w:tc>
          <w:tcPr>
            <w:tcW w:w="0" w:type="auto"/>
            <w:hideMark/>
          </w:tcPr>
          <w:p w14:paraId="5CAF1E4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.83</w:t>
            </w:r>
          </w:p>
        </w:tc>
      </w:tr>
      <w:tr w:rsidR="005348B3" w:rsidRPr="007D589C" w14:paraId="54F4A00B" w14:textId="77777777" w:rsidTr="00DB0A7C">
        <w:trPr>
          <w:trHeight w:val="319"/>
        </w:trPr>
        <w:tc>
          <w:tcPr>
            <w:tcW w:w="0" w:type="auto"/>
            <w:hideMark/>
          </w:tcPr>
          <w:p w14:paraId="01FCC6A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AWID</w:t>
            </w:r>
          </w:p>
        </w:tc>
        <w:tc>
          <w:tcPr>
            <w:tcW w:w="0" w:type="auto"/>
            <w:hideMark/>
          </w:tcPr>
          <w:p w14:paraId="595D00E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.72</w:t>
            </w:r>
          </w:p>
        </w:tc>
        <w:tc>
          <w:tcPr>
            <w:tcW w:w="0" w:type="auto"/>
            <w:hideMark/>
          </w:tcPr>
          <w:p w14:paraId="5FF885C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.87</w:t>
            </w:r>
          </w:p>
        </w:tc>
        <w:tc>
          <w:tcPr>
            <w:tcW w:w="0" w:type="auto"/>
            <w:hideMark/>
          </w:tcPr>
          <w:p w14:paraId="5C30BDF7"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.89</w:t>
            </w:r>
          </w:p>
        </w:tc>
      </w:tr>
      <w:tr w:rsidR="005348B3" w:rsidRPr="007D589C" w14:paraId="479C9E5C" w14:textId="77777777" w:rsidTr="00DB0A7C">
        <w:trPr>
          <w:trHeight w:val="324"/>
        </w:trPr>
        <w:tc>
          <w:tcPr>
            <w:tcW w:w="0" w:type="auto"/>
            <w:hideMark/>
          </w:tcPr>
          <w:p w14:paraId="47ACB4BD"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AWID</w:t>
            </w:r>
          </w:p>
        </w:tc>
        <w:tc>
          <w:tcPr>
            <w:tcW w:w="0" w:type="auto"/>
            <w:hideMark/>
          </w:tcPr>
          <w:p w14:paraId="479EA25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.75</w:t>
            </w:r>
          </w:p>
        </w:tc>
        <w:tc>
          <w:tcPr>
            <w:tcW w:w="0" w:type="auto"/>
            <w:hideMark/>
          </w:tcPr>
          <w:p w14:paraId="2BC6716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.80</w:t>
            </w:r>
          </w:p>
        </w:tc>
        <w:tc>
          <w:tcPr>
            <w:tcW w:w="0" w:type="auto"/>
            <w:hideMark/>
          </w:tcPr>
          <w:p w14:paraId="76F8F35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.85</w:t>
            </w:r>
          </w:p>
        </w:tc>
      </w:tr>
      <w:tr w:rsidR="005348B3" w:rsidRPr="007D589C" w14:paraId="32CEF78C" w14:textId="77777777" w:rsidTr="00DB0A7C">
        <w:trPr>
          <w:trHeight w:val="319"/>
        </w:trPr>
        <w:tc>
          <w:tcPr>
            <w:tcW w:w="0" w:type="auto"/>
            <w:hideMark/>
          </w:tcPr>
          <w:p w14:paraId="5E74012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Ability to Testify - TD Adult</w:t>
            </w:r>
          </w:p>
        </w:tc>
        <w:tc>
          <w:tcPr>
            <w:tcW w:w="0" w:type="auto"/>
            <w:hideMark/>
          </w:tcPr>
          <w:p w14:paraId="235DAEF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.38</w:t>
            </w:r>
          </w:p>
        </w:tc>
        <w:tc>
          <w:tcPr>
            <w:tcW w:w="0" w:type="auto"/>
            <w:hideMark/>
          </w:tcPr>
          <w:p w14:paraId="5C0E9D49"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.75</w:t>
            </w:r>
          </w:p>
        </w:tc>
        <w:tc>
          <w:tcPr>
            <w:tcW w:w="0" w:type="auto"/>
            <w:hideMark/>
          </w:tcPr>
          <w:p w14:paraId="37B4EC0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.76</w:t>
            </w:r>
          </w:p>
        </w:tc>
      </w:tr>
      <w:tr w:rsidR="005348B3" w:rsidRPr="007D589C" w14:paraId="54AD5F0C" w14:textId="77777777" w:rsidTr="00DB0A7C">
        <w:trPr>
          <w:trHeight w:val="319"/>
        </w:trPr>
        <w:tc>
          <w:tcPr>
            <w:tcW w:w="0" w:type="auto"/>
            <w:hideMark/>
          </w:tcPr>
          <w:p w14:paraId="48FB8223"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Suggestibility - TD Adult</w:t>
            </w:r>
          </w:p>
        </w:tc>
        <w:tc>
          <w:tcPr>
            <w:tcW w:w="0" w:type="auto"/>
            <w:hideMark/>
          </w:tcPr>
          <w:p w14:paraId="73BC4F1B"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.76</w:t>
            </w:r>
          </w:p>
        </w:tc>
        <w:tc>
          <w:tcPr>
            <w:tcW w:w="0" w:type="auto"/>
            <w:hideMark/>
          </w:tcPr>
          <w:p w14:paraId="1A33A936"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.82</w:t>
            </w:r>
          </w:p>
        </w:tc>
        <w:tc>
          <w:tcPr>
            <w:tcW w:w="0" w:type="auto"/>
            <w:hideMark/>
          </w:tcPr>
          <w:p w14:paraId="4AEF2D65" w14:textId="77777777" w:rsidR="005348B3" w:rsidRPr="007D589C" w:rsidRDefault="005348B3" w:rsidP="00DB0A7C">
            <w:pPr>
              <w:pStyle w:val="Compact"/>
              <w:rPr>
                <w:rFonts w:ascii="Times New Roman" w:hAnsi="Times New Roman" w:cs="Times New Roman"/>
              </w:rPr>
            </w:pPr>
            <w:r w:rsidRPr="007D589C">
              <w:rPr>
                <w:rFonts w:ascii="Times New Roman" w:hAnsi="Times New Roman" w:cs="Times New Roman"/>
              </w:rPr>
              <w:t>.84</w:t>
            </w:r>
          </w:p>
        </w:tc>
      </w:tr>
    </w:tbl>
    <w:p w14:paraId="1A2423A8" w14:textId="77777777" w:rsidR="005348B3" w:rsidRPr="007D589C" w:rsidRDefault="005348B3" w:rsidP="005348B3">
      <w:pPr>
        <w:pStyle w:val="NoSpacing"/>
        <w:rPr>
          <w:rFonts w:ascii="Times New Roman" w:hAnsi="Times New Roman" w:cs="Times New Roman"/>
          <w:sz w:val="24"/>
          <w:szCs w:val="24"/>
        </w:rPr>
      </w:pPr>
    </w:p>
    <w:p w14:paraId="7778A4C4" w14:textId="77777777" w:rsidR="005348B3" w:rsidRPr="007D589C" w:rsidRDefault="005348B3" w:rsidP="005348B3">
      <w:pPr>
        <w:rPr>
          <w:rFonts w:ascii="Times New Roman" w:hAnsi="Times New Roman" w:cs="Times New Roman"/>
          <w:sz w:val="24"/>
          <w:szCs w:val="24"/>
        </w:rPr>
      </w:pPr>
      <w:r w:rsidRPr="007D589C">
        <w:rPr>
          <w:rFonts w:ascii="Times New Roman" w:hAnsi="Times New Roman" w:cs="Times New Roman"/>
          <w:i/>
          <w:iCs/>
          <w:sz w:val="24"/>
          <w:szCs w:val="24"/>
        </w:rPr>
        <w:t xml:space="preserve">Note. </w:t>
      </w:r>
      <w:r w:rsidRPr="007D589C">
        <w:rPr>
          <w:rFonts w:ascii="Times New Roman" w:hAnsi="Times New Roman" w:cs="Times New Roman"/>
          <w:sz w:val="24"/>
          <w:szCs w:val="24"/>
        </w:rPr>
        <w:t>α = Cronbach’s Alpha; ω = Omega H = Coefficient H</w:t>
      </w:r>
    </w:p>
    <w:p w14:paraId="6A55F101" w14:textId="77777777" w:rsidR="005348B3" w:rsidRPr="007D589C" w:rsidRDefault="005348B3" w:rsidP="005348B3">
      <w:pPr>
        <w:rPr>
          <w:rFonts w:ascii="Times New Roman" w:hAnsi="Times New Roman" w:cs="Times New Roman"/>
          <w:sz w:val="24"/>
          <w:szCs w:val="24"/>
        </w:rPr>
      </w:pPr>
    </w:p>
    <w:p w14:paraId="7E0BB2AA" w14:textId="77777777" w:rsidR="005348B3" w:rsidRPr="007D589C" w:rsidRDefault="005348B3" w:rsidP="005348B3">
      <w:pPr>
        <w:pStyle w:val="Heading2"/>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2.6. Statistical Analyses</w:t>
      </w:r>
    </w:p>
    <w:p w14:paraId="21D214E7" w14:textId="77777777" w:rsidR="005348B3" w:rsidRPr="007D589C" w:rsidRDefault="005348B3" w:rsidP="005348B3">
      <w:pPr>
        <w:rPr>
          <w:rFonts w:ascii="Times New Roman" w:hAnsi="Times New Roman" w:cs="Times New Roman"/>
        </w:rPr>
      </w:pPr>
    </w:p>
    <w:p w14:paraId="058B896A" w14:textId="3D6848A6" w:rsidR="005348B3" w:rsidRDefault="005348B3" w:rsidP="005348B3">
      <w:pPr>
        <w:spacing w:line="240" w:lineRule="auto"/>
        <w:rPr>
          <w:rFonts w:ascii="Times New Roman" w:hAnsi="Times New Roman" w:cs="Times New Roman"/>
          <w:sz w:val="24"/>
          <w:szCs w:val="24"/>
        </w:rPr>
      </w:pPr>
      <w:r w:rsidRPr="007D589C">
        <w:rPr>
          <w:rFonts w:ascii="Times New Roman" w:hAnsi="Times New Roman" w:cs="Times New Roman"/>
          <w:sz w:val="24"/>
          <w:szCs w:val="24"/>
        </w:rPr>
        <w:tab/>
        <w:t xml:space="preserve">We decided to use a Linear Mixed-Effects Regression (LMER), the model pools an </w:t>
      </w:r>
      <w:proofErr w:type="gramStart"/>
      <w:r w:rsidRPr="007D589C">
        <w:rPr>
          <w:rFonts w:ascii="Times New Roman" w:hAnsi="Times New Roman" w:cs="Times New Roman"/>
          <w:sz w:val="24"/>
          <w:szCs w:val="24"/>
        </w:rPr>
        <w:t>estimated multilevel equations</w:t>
      </w:r>
      <w:proofErr w:type="gramEnd"/>
      <w:r w:rsidRPr="007D589C">
        <w:rPr>
          <w:rFonts w:ascii="Times New Roman" w:hAnsi="Times New Roman" w:cs="Times New Roman"/>
          <w:sz w:val="24"/>
          <w:szCs w:val="24"/>
        </w:rPr>
        <w:t xml:space="preserve"> by simultaneously incorporating random and fixed effects, and can be represented by (</w:t>
      </w:r>
      <w:proofErr w:type="spellStart"/>
      <w:r w:rsidRPr="007D589C">
        <w:rPr>
          <w:rFonts w:ascii="Times New Roman" w:hAnsi="Times New Roman" w:cs="Times New Roman"/>
          <w:sz w:val="24"/>
          <w:szCs w:val="24"/>
        </w:rPr>
        <w:t>Muth</w:t>
      </w:r>
      <w:proofErr w:type="spellEnd"/>
      <w:r w:rsidRPr="007D589C">
        <w:rPr>
          <w:rFonts w:ascii="Times New Roman" w:hAnsi="Times New Roman" w:cs="Times New Roman"/>
          <w:sz w:val="24"/>
          <w:szCs w:val="24"/>
        </w:rPr>
        <w:t>, et al., 2016, 2020; Singer, 1998):</w:t>
      </w:r>
    </w:p>
    <w:p w14:paraId="64B7E045" w14:textId="7D239A58" w:rsidR="00B71E79" w:rsidRDefault="00B71E79" w:rsidP="005348B3">
      <w:pPr>
        <w:spacing w:line="240" w:lineRule="auto"/>
        <w:rPr>
          <w:rFonts w:ascii="Times New Roman" w:hAnsi="Times New Roman" w:cs="Times New Roman"/>
          <w:sz w:val="24"/>
          <w:szCs w:val="24"/>
        </w:rPr>
      </w:pPr>
    </w:p>
    <w:p w14:paraId="59E515A8" w14:textId="447CB941" w:rsidR="00B71E79" w:rsidRDefault="00B71E79">
      <w:pPr>
        <w:rPr>
          <w:rFonts w:ascii="Times New Roman" w:hAnsi="Times New Roman" w:cs="Times New Roman"/>
          <w:sz w:val="24"/>
          <w:szCs w:val="24"/>
        </w:rPr>
      </w:pPr>
      <w:r>
        <w:rPr>
          <w:rFonts w:ascii="Times New Roman" w:hAnsi="Times New Roman" w:cs="Times New Roman"/>
          <w:sz w:val="24"/>
          <w:szCs w:val="24"/>
        </w:rPr>
        <w:br w:type="page"/>
      </w:r>
    </w:p>
    <w:p w14:paraId="2DD4F499" w14:textId="77777777" w:rsidR="00B71E79" w:rsidRPr="007D589C" w:rsidRDefault="00B71E79" w:rsidP="00B71E79">
      <w:pPr>
        <w:pStyle w:val="Heading2"/>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2.6. Statistical Analyses</w:t>
      </w:r>
    </w:p>
    <w:p w14:paraId="5DB86A12" w14:textId="77777777" w:rsidR="00B71E79" w:rsidRPr="007D589C" w:rsidRDefault="00B71E79" w:rsidP="00B71E79">
      <w:pPr>
        <w:rPr>
          <w:rFonts w:ascii="Times New Roman" w:hAnsi="Times New Roman" w:cs="Times New Roman"/>
        </w:rPr>
      </w:pPr>
    </w:p>
    <w:p w14:paraId="06CA223D" w14:textId="77777777" w:rsidR="00B71E79" w:rsidRDefault="00B71E79" w:rsidP="00B71E79">
      <w:pPr>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62287DB" wp14:editId="15C29C07">
            <wp:simplePos x="0" y="0"/>
            <wp:positionH relativeFrom="page">
              <wp:align>left</wp:align>
            </wp:positionH>
            <wp:positionV relativeFrom="paragraph">
              <wp:posOffset>1009650</wp:posOffset>
            </wp:positionV>
            <wp:extent cx="7556500" cy="2101850"/>
            <wp:effectExtent l="0" t="0" r="6350" b="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556500" cy="2101850"/>
                    </a:xfrm>
                    <a:prstGeom prst="rect">
                      <a:avLst/>
                    </a:prstGeom>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sz w:val="24"/>
          <w:szCs w:val="24"/>
        </w:rPr>
        <w:tab/>
        <w:t xml:space="preserve">We </w:t>
      </w:r>
      <w:r>
        <w:rPr>
          <w:rFonts w:ascii="Times New Roman" w:hAnsi="Times New Roman" w:cs="Times New Roman"/>
          <w:sz w:val="24"/>
          <w:szCs w:val="24"/>
        </w:rPr>
        <w:t>opted for a</w:t>
      </w:r>
      <w:r w:rsidRPr="007D589C">
        <w:rPr>
          <w:rFonts w:ascii="Times New Roman" w:hAnsi="Times New Roman" w:cs="Times New Roman"/>
          <w:sz w:val="24"/>
          <w:szCs w:val="24"/>
        </w:rPr>
        <w:t xml:space="preserve"> Linear Mixed-Effects Regression (LMER), </w:t>
      </w:r>
      <w:r>
        <w:rPr>
          <w:rFonts w:ascii="Times New Roman" w:hAnsi="Times New Roman" w:cs="Times New Roman"/>
          <w:sz w:val="24"/>
          <w:szCs w:val="24"/>
        </w:rPr>
        <w:t>as our data is not independent, has an expected hierarchical structure, and it incorporates random and fixed effects. How LMER is represented (</w:t>
      </w:r>
      <w:r w:rsidRPr="007D589C">
        <w:rPr>
          <w:rFonts w:ascii="Times New Roman" w:hAnsi="Times New Roman" w:cs="Times New Roman"/>
          <w:sz w:val="24"/>
          <w:szCs w:val="24"/>
        </w:rPr>
        <w:t>Singer, 1998</w:t>
      </w:r>
      <w:r>
        <w:rPr>
          <w:rFonts w:ascii="Times New Roman" w:hAnsi="Times New Roman" w:cs="Times New Roman"/>
          <w:sz w:val="24"/>
          <w:szCs w:val="24"/>
        </w:rPr>
        <w:t>) is in Figure 1.</w:t>
      </w:r>
    </w:p>
    <w:p w14:paraId="13902EA4" w14:textId="77777777" w:rsidR="00B71E79" w:rsidRDefault="00B71E79" w:rsidP="00B71E79">
      <w:pPr>
        <w:spacing w:line="480" w:lineRule="auto"/>
        <w:rPr>
          <w:rFonts w:ascii="Times New Roman" w:hAnsi="Times New Roman" w:cs="Times New Roman"/>
          <w:sz w:val="24"/>
          <w:szCs w:val="24"/>
        </w:rPr>
      </w:pPr>
    </w:p>
    <w:p w14:paraId="1D5A1110" w14:textId="77777777" w:rsidR="00B71E79" w:rsidRDefault="00B71E79" w:rsidP="00B71E79">
      <w:pPr>
        <w:spacing w:line="480" w:lineRule="auto"/>
        <w:rPr>
          <w:rFonts w:ascii="Times New Roman" w:hAnsi="Times New Roman" w:cs="Times New Roman"/>
          <w:sz w:val="24"/>
          <w:szCs w:val="24"/>
        </w:rPr>
      </w:pPr>
    </w:p>
    <w:p w14:paraId="234D513B" w14:textId="77777777" w:rsidR="00B71E79" w:rsidRDefault="00B71E79" w:rsidP="00B71E79">
      <w:pPr>
        <w:spacing w:line="480" w:lineRule="auto"/>
        <w:rPr>
          <w:rFonts w:ascii="Times New Roman" w:hAnsi="Times New Roman" w:cs="Times New Roman"/>
          <w:sz w:val="24"/>
          <w:szCs w:val="24"/>
        </w:rPr>
      </w:pPr>
    </w:p>
    <w:p w14:paraId="683203AC" w14:textId="77777777" w:rsidR="00B71E79" w:rsidRDefault="00B71E79" w:rsidP="00B71E79">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1. </w:t>
      </w:r>
    </w:p>
    <w:p w14:paraId="61C3C303" w14:textId="77777777" w:rsidR="00B71E79" w:rsidRPr="00D04966" w:rsidRDefault="00B71E79" w:rsidP="00B71E79">
      <w:pPr>
        <w:spacing w:line="240" w:lineRule="auto"/>
        <w:rPr>
          <w:rFonts w:ascii="Times New Roman" w:hAnsi="Times New Roman" w:cs="Times New Roman"/>
          <w:sz w:val="24"/>
          <w:szCs w:val="24"/>
        </w:rPr>
      </w:pPr>
      <w:r>
        <w:rPr>
          <w:rFonts w:ascii="Times New Roman" w:hAnsi="Times New Roman" w:cs="Times New Roman"/>
          <w:i/>
          <w:iCs/>
          <w:sz w:val="24"/>
          <w:szCs w:val="24"/>
        </w:rPr>
        <w:t>LMER Equation</w:t>
      </w:r>
    </w:p>
    <w:p w14:paraId="2E1D28A7" w14:textId="77777777" w:rsidR="00B71E79" w:rsidRPr="007D589C" w:rsidRDefault="00B71E79" w:rsidP="00B71E79">
      <w:pPr>
        <w:spacing w:line="480" w:lineRule="auto"/>
        <w:rPr>
          <w:rFonts w:ascii="Times New Roman" w:hAnsi="Times New Roman" w:cs="Times New Roman"/>
          <w:sz w:val="24"/>
          <w:szCs w:val="24"/>
        </w:rPr>
      </w:pPr>
      <w:r w:rsidRPr="007D589C">
        <w:rPr>
          <w:rFonts w:ascii="Times New Roman" w:hAnsi="Times New Roman" w:cs="Times New Roman"/>
          <w:noProof/>
        </w:rPr>
        <w:drawing>
          <wp:inline distT="0" distB="0" distL="0" distR="0" wp14:anchorId="65E8663F" wp14:editId="1FA77773">
            <wp:extent cx="5731510" cy="344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4170"/>
                    </a:xfrm>
                    <a:prstGeom prst="rect">
                      <a:avLst/>
                    </a:prstGeom>
                  </pic:spPr>
                </pic:pic>
              </a:graphicData>
            </a:graphic>
          </wp:inline>
        </w:drawing>
      </w:r>
    </w:p>
    <w:p w14:paraId="2FAD4AFD" w14:textId="1B63ACFC" w:rsidR="00B71E79" w:rsidRDefault="00B71E79" w:rsidP="00B71E79">
      <w:p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i/>
          <w:iCs/>
          <w:sz w:val="24"/>
          <w:szCs w:val="24"/>
        </w:rPr>
        <w:t>m</w:t>
      </w:r>
      <w:r>
        <w:rPr>
          <w:rFonts w:ascii="Times New Roman" w:hAnsi="Times New Roman" w:cs="Times New Roman"/>
          <w:i/>
          <w:iCs/>
          <w:sz w:val="24"/>
          <w:szCs w:val="24"/>
          <w:vertAlign w:val="subscript"/>
        </w:rPr>
        <w:t>ij</w:t>
      </w:r>
      <w:proofErr w:type="spellEnd"/>
      <w:r>
        <w:rPr>
          <w:rFonts w:ascii="Times New Roman" w:hAnsi="Times New Roman" w:cs="Times New Roman"/>
          <w:i/>
          <w:iCs/>
          <w:sz w:val="24"/>
          <w:szCs w:val="24"/>
        </w:rPr>
        <w:t xml:space="preserve"> = </w:t>
      </w:r>
      <w:r w:rsidRPr="00D04966">
        <w:rPr>
          <w:rFonts w:ascii="Times New Roman" w:hAnsi="Times New Roman" w:cs="Times New Roman"/>
          <w:sz w:val="24"/>
          <w:szCs w:val="24"/>
        </w:rPr>
        <w:t>outcome scores</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 an individual; </w:t>
      </w:r>
      <w:r w:rsidRPr="00D04966">
        <w:rPr>
          <w:rFonts w:ascii="Times New Roman" w:hAnsi="Times New Roman" w:cs="Times New Roman"/>
          <w:i/>
          <w:iCs/>
          <w:sz w:val="24"/>
          <w:szCs w:val="24"/>
        </w:rPr>
        <w:t>j</w:t>
      </w:r>
      <w:r>
        <w:rPr>
          <w:rFonts w:ascii="Times New Roman" w:hAnsi="Times New Roman" w:cs="Times New Roman"/>
          <w:sz w:val="24"/>
          <w:szCs w:val="24"/>
        </w:rPr>
        <w:t xml:space="preserve"> = a repeated assessment; </w:t>
      </w:r>
      <w:r w:rsidRPr="00D04966">
        <w:rPr>
          <w:rFonts w:ascii="Times New Roman" w:hAnsi="Times New Roman" w:cs="Times New Roman"/>
          <w:i/>
          <w:iCs/>
          <w:sz w:val="24"/>
          <w:szCs w:val="24"/>
        </w:rPr>
        <w:t>α</w:t>
      </w:r>
      <w:r w:rsidRPr="00D04966">
        <w:rPr>
          <w:rFonts w:ascii="Times New Roman" w:hAnsi="Times New Roman" w:cs="Times New Roman"/>
          <w:i/>
          <w:iCs/>
          <w:sz w:val="24"/>
          <w:szCs w:val="24"/>
          <w:vertAlign w:val="subscript"/>
        </w:rPr>
        <w:t>0j</w:t>
      </w:r>
      <w:r>
        <w:rPr>
          <w:rFonts w:ascii="Times New Roman" w:hAnsi="Times New Roman" w:cs="Times New Roman"/>
          <w:sz w:val="24"/>
          <w:szCs w:val="24"/>
        </w:rPr>
        <w:t xml:space="preserve"> = combined linear random mean for each assessment; </w:t>
      </w:r>
      <w:r>
        <w:rPr>
          <w:rFonts w:ascii="Times New Roman" w:hAnsi="Times New Roman" w:cs="Times New Roman"/>
          <w:i/>
          <w:iCs/>
          <w:sz w:val="24"/>
          <w:szCs w:val="24"/>
        </w:rPr>
        <w:t>β</w:t>
      </w:r>
      <w:r>
        <w:rPr>
          <w:rFonts w:ascii="Times New Roman" w:hAnsi="Times New Roman" w:cs="Times New Roman"/>
          <w:i/>
          <w:iCs/>
          <w:sz w:val="24"/>
          <w:szCs w:val="24"/>
          <w:vertAlign w:val="subscript"/>
        </w:rPr>
        <w:t>1j</w:t>
      </w:r>
      <w:r>
        <w:rPr>
          <w:rFonts w:ascii="Times New Roman" w:hAnsi="Times New Roman" w:cs="Times New Roman"/>
          <w:sz w:val="24"/>
          <w:szCs w:val="24"/>
        </w:rPr>
        <w:t xml:space="preserve"> = a random slope for </w:t>
      </w:r>
      <w:proofErr w:type="gramStart"/>
      <w:r>
        <w:rPr>
          <w:rFonts w:ascii="Times New Roman" w:hAnsi="Times New Roman" w:cs="Times New Roman"/>
          <w:sz w:val="24"/>
          <w:szCs w:val="24"/>
        </w:rPr>
        <w:t>each individual</w:t>
      </w:r>
      <w:proofErr w:type="gramEnd"/>
      <w:r>
        <w:rPr>
          <w:rFonts w:ascii="Times New Roman" w:hAnsi="Times New Roman" w:cs="Times New Roman"/>
          <w:sz w:val="24"/>
          <w:szCs w:val="24"/>
        </w:rPr>
        <w:t xml:space="preserve"> and each assessment; </w:t>
      </w:r>
      <w:proofErr w:type="spellStart"/>
      <w:r>
        <w:rPr>
          <w:rFonts w:ascii="Times New Roman" w:hAnsi="Times New Roman" w:cs="Times New Roman"/>
          <w:i/>
          <w:iCs/>
          <w:sz w:val="24"/>
          <w:szCs w:val="24"/>
        </w:rPr>
        <w:t>t</w:t>
      </w:r>
      <w:r>
        <w:rPr>
          <w:rFonts w:ascii="Times New Roman" w:hAnsi="Times New Roman" w:cs="Times New Roman"/>
          <w:i/>
          <w:iCs/>
          <w:sz w:val="24"/>
          <w:szCs w:val="24"/>
          <w:vertAlign w:val="subscript"/>
        </w:rPr>
        <w:t>ij</w:t>
      </w:r>
      <w:proofErr w:type="spellEnd"/>
      <w:r>
        <w:rPr>
          <w:rFonts w:ascii="Times New Roman" w:hAnsi="Times New Roman" w:cs="Times New Roman"/>
          <w:sz w:val="24"/>
          <w:szCs w:val="24"/>
        </w:rPr>
        <w:t xml:space="preserve"> = measurement occasion; </w:t>
      </w:r>
      <w:proofErr w:type="spellStart"/>
      <w:r w:rsidRPr="00B95DFD">
        <w:rPr>
          <w:rFonts w:ascii="Times New Roman" w:hAnsi="Times New Roman" w:cs="Times New Roman"/>
          <w:i/>
          <w:iCs/>
          <w:sz w:val="24"/>
          <w:szCs w:val="24"/>
          <w:vertAlign w:val="subscript"/>
        </w:rPr>
        <w:t>e</w:t>
      </w:r>
      <w:r>
        <w:rPr>
          <w:rFonts w:ascii="Times New Roman" w:hAnsi="Times New Roman" w:cs="Times New Roman"/>
          <w:i/>
          <w:iCs/>
          <w:sz w:val="24"/>
          <w:szCs w:val="24"/>
          <w:vertAlign w:val="subscript"/>
        </w:rPr>
        <w:t>ij</w:t>
      </w:r>
      <w:proofErr w:type="spellEnd"/>
      <w:r>
        <w:rPr>
          <w:rFonts w:ascii="Times New Roman" w:hAnsi="Times New Roman" w:cs="Times New Roman"/>
          <w:i/>
          <w:iCs/>
          <w:sz w:val="24"/>
          <w:szCs w:val="24"/>
          <w:vertAlign w:val="subscript"/>
        </w:rPr>
        <w:t xml:space="preserve"> </w:t>
      </w:r>
      <w:r>
        <w:rPr>
          <w:rFonts w:ascii="Times New Roman" w:hAnsi="Times New Roman" w:cs="Times New Roman"/>
          <w:sz w:val="24"/>
          <w:szCs w:val="24"/>
        </w:rPr>
        <w:t>= random residual error for each individual in each assessment.</w:t>
      </w:r>
    </w:p>
    <w:p w14:paraId="59F00647" w14:textId="682DBD9D" w:rsidR="005032D8" w:rsidRDefault="005032D8" w:rsidP="00B71E79">
      <w:pPr>
        <w:rPr>
          <w:rFonts w:ascii="Times New Roman" w:hAnsi="Times New Roman" w:cs="Times New Roman"/>
          <w:sz w:val="24"/>
          <w:szCs w:val="24"/>
        </w:rPr>
      </w:pPr>
    </w:p>
    <w:p w14:paraId="3DD0187C" w14:textId="73482ED3" w:rsidR="005032D8" w:rsidRDefault="005032D8" w:rsidP="00B71E79">
      <w:pPr>
        <w:rPr>
          <w:rFonts w:ascii="Times New Roman" w:hAnsi="Times New Roman" w:cs="Times New Roman"/>
          <w:sz w:val="24"/>
          <w:szCs w:val="24"/>
        </w:rPr>
      </w:pPr>
    </w:p>
    <w:p w14:paraId="3339566E" w14:textId="39B58484" w:rsidR="005032D8" w:rsidRDefault="005032D8" w:rsidP="00B71E79">
      <w:pPr>
        <w:rPr>
          <w:rFonts w:ascii="Times New Roman" w:hAnsi="Times New Roman" w:cs="Times New Roman"/>
          <w:sz w:val="24"/>
          <w:szCs w:val="24"/>
        </w:rPr>
      </w:pPr>
    </w:p>
    <w:p w14:paraId="03A98B88" w14:textId="1A5A9023" w:rsidR="005032D8" w:rsidRDefault="005032D8" w:rsidP="00B71E79">
      <w:pPr>
        <w:rPr>
          <w:rFonts w:ascii="Times New Roman" w:hAnsi="Times New Roman" w:cs="Times New Roman"/>
          <w:sz w:val="24"/>
          <w:szCs w:val="24"/>
        </w:rPr>
      </w:pPr>
    </w:p>
    <w:p w14:paraId="1F585D3E" w14:textId="1BFDD4CA" w:rsidR="005032D8" w:rsidRDefault="005032D8" w:rsidP="00B71E79">
      <w:pPr>
        <w:rPr>
          <w:rFonts w:ascii="Times New Roman" w:hAnsi="Times New Roman" w:cs="Times New Roman"/>
          <w:sz w:val="24"/>
          <w:szCs w:val="24"/>
        </w:rPr>
      </w:pPr>
    </w:p>
    <w:p w14:paraId="73D904DF" w14:textId="679CE7C1" w:rsidR="005032D8" w:rsidRDefault="005032D8" w:rsidP="00B71E79">
      <w:pPr>
        <w:rPr>
          <w:rFonts w:ascii="Times New Roman" w:hAnsi="Times New Roman" w:cs="Times New Roman"/>
          <w:sz w:val="24"/>
          <w:szCs w:val="24"/>
        </w:rPr>
      </w:pPr>
    </w:p>
    <w:p w14:paraId="0973C3FD" w14:textId="39327177" w:rsidR="005032D8" w:rsidRDefault="005032D8" w:rsidP="00B71E79">
      <w:pPr>
        <w:rPr>
          <w:rFonts w:ascii="Times New Roman" w:hAnsi="Times New Roman" w:cs="Times New Roman"/>
          <w:sz w:val="24"/>
          <w:szCs w:val="24"/>
        </w:rPr>
      </w:pPr>
    </w:p>
    <w:p w14:paraId="7681E3DE" w14:textId="70C650DB" w:rsidR="005032D8" w:rsidRDefault="005032D8" w:rsidP="005032D8">
      <w:pPr>
        <w:spacing w:line="480" w:lineRule="auto"/>
        <w:ind w:firstLine="720"/>
        <w:rPr>
          <w:rFonts w:ascii="Times New Roman" w:hAnsi="Times New Roman" w:cs="Times New Roman"/>
        </w:rPr>
      </w:pPr>
      <w:r w:rsidRPr="007D589C">
        <w:rPr>
          <w:rFonts w:ascii="Times New Roman" w:hAnsi="Times New Roman" w:cs="Times New Roman"/>
        </w:rPr>
        <w:t xml:space="preserve">European Union Monitoring and Advocacy Program (2005) The Rights of People with Intellectual Disabilities: Access to Education and Employment. Open Society Institute, Budapest. (Available at: </w:t>
      </w:r>
      <w:proofErr w:type="gramStart"/>
      <w:r w:rsidRPr="007D589C">
        <w:rPr>
          <w:rFonts w:ascii="Times New Roman" w:hAnsi="Times New Roman" w:cs="Times New Roman"/>
        </w:rPr>
        <w:t>http://www .</w:t>
      </w:r>
      <w:proofErr w:type="gramEnd"/>
      <w:r w:rsidRPr="007D589C">
        <w:rPr>
          <w:rFonts w:ascii="Times New Roman" w:hAnsi="Times New Roman" w:cs="Times New Roman"/>
        </w:rPr>
        <w:t>opensocietyfoundations.org/reports/rights-people -intellectual-disabilities-access-education-and -employment); (retrieved 6 June 2021).</w:t>
      </w:r>
    </w:p>
    <w:p w14:paraId="0318E669" w14:textId="6D4BFF91" w:rsidR="005E5F0B" w:rsidRDefault="005E5F0B" w:rsidP="005032D8">
      <w:pPr>
        <w:spacing w:line="480" w:lineRule="auto"/>
        <w:ind w:firstLine="720"/>
        <w:rPr>
          <w:rFonts w:ascii="Times New Roman" w:hAnsi="Times New Roman" w:cs="Times New Roman"/>
        </w:rPr>
      </w:pPr>
    </w:p>
    <w:p w14:paraId="4884E9F3" w14:textId="77777777" w:rsidR="005E5F0B" w:rsidRPr="007D589C" w:rsidRDefault="005E5F0B" w:rsidP="005E5F0B">
      <w:pPr>
        <w:pStyle w:val="NormalWeb"/>
        <w:shd w:val="clear" w:color="auto" w:fill="FFFFFF"/>
        <w:spacing w:before="0" w:beforeAutospacing="0" w:after="0" w:afterAutospacing="0" w:line="480" w:lineRule="auto"/>
      </w:pPr>
      <w:r w:rsidRPr="007D589C">
        <w:t>middle childhood (</w:t>
      </w:r>
      <w:r w:rsidRPr="007D589C">
        <w:rPr>
          <w:i/>
          <w:iCs/>
        </w:rPr>
        <w:t>p</w:t>
      </w:r>
      <w:r w:rsidRPr="007D589C">
        <w:t xml:space="preserve"> = .99).</w:t>
      </w:r>
    </w:p>
    <w:p w14:paraId="2E0FE526" w14:textId="77777777" w:rsidR="005E5F0B" w:rsidRPr="007D589C" w:rsidRDefault="005E5F0B" w:rsidP="005E5F0B">
      <w:pPr>
        <w:rPr>
          <w:rFonts w:ascii="Times New Roman" w:hAnsi="Times New Roman" w:cs="Times New Roman"/>
          <w:sz w:val="24"/>
          <w:szCs w:val="24"/>
        </w:rPr>
      </w:pPr>
      <w:r w:rsidRPr="007D589C">
        <w:rPr>
          <w:rFonts w:ascii="Times New Roman" w:hAnsi="Times New Roman" w:cs="Times New Roman"/>
          <w:sz w:val="24"/>
          <w:szCs w:val="24"/>
        </w:rPr>
        <w:t>Figure 1.</w:t>
      </w:r>
    </w:p>
    <w:p w14:paraId="32D69C6D" w14:textId="77777777" w:rsidR="005E5F0B" w:rsidRPr="007D589C" w:rsidRDefault="005E5F0B" w:rsidP="005E5F0B">
      <w:pPr>
        <w:rPr>
          <w:rFonts w:ascii="Times New Roman" w:hAnsi="Times New Roman" w:cs="Times New Roman"/>
          <w:i/>
          <w:iCs/>
          <w:sz w:val="24"/>
          <w:szCs w:val="24"/>
        </w:rPr>
      </w:pPr>
      <w:r>
        <w:rPr>
          <w:rFonts w:ascii="Times New Roman" w:hAnsi="Times New Roman" w:cs="Times New Roman"/>
          <w:i/>
          <w:iCs/>
          <w:sz w:val="24"/>
          <w:szCs w:val="24"/>
        </w:rPr>
        <w:t>Plotted Distribution from LEMR</w:t>
      </w:r>
    </w:p>
    <w:p w14:paraId="6E3BCF39" w14:textId="77777777" w:rsidR="005E5F0B" w:rsidRPr="007D589C" w:rsidRDefault="005E5F0B" w:rsidP="005E5F0B">
      <w:pPr>
        <w:rPr>
          <w:rFonts w:ascii="Times New Roman" w:hAnsi="Times New Roman" w:cs="Times New Roman"/>
          <w:sz w:val="24"/>
          <w:szCs w:val="24"/>
        </w:rPr>
      </w:pPr>
      <w:r w:rsidRPr="007D589C">
        <w:rPr>
          <w:rFonts w:ascii="Times New Roman" w:hAnsi="Times New Roman" w:cs="Times New Roman"/>
          <w:noProof/>
        </w:rPr>
        <w:drawing>
          <wp:inline distT="0" distB="0" distL="0" distR="0" wp14:anchorId="7B90F45F" wp14:editId="02FBE60A">
            <wp:extent cx="5838801" cy="4241175"/>
            <wp:effectExtent l="0" t="0" r="0" b="6985"/>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pic:nvPicPr>
                  <pic:blipFill>
                    <a:blip r:embed="rId13"/>
                    <a:stretch>
                      <a:fillRect/>
                    </a:stretch>
                  </pic:blipFill>
                  <pic:spPr bwMode="auto">
                    <a:xfrm>
                      <a:off x="0" y="0"/>
                      <a:ext cx="5860766" cy="4257130"/>
                    </a:xfrm>
                    <a:prstGeom prst="rect">
                      <a:avLst/>
                    </a:prstGeom>
                    <a:noFill/>
                    <a:ln w="9525">
                      <a:noFill/>
                      <a:headEnd/>
                      <a:tailEnd/>
                    </a:ln>
                  </pic:spPr>
                </pic:pic>
              </a:graphicData>
            </a:graphic>
          </wp:inline>
        </w:drawing>
      </w:r>
    </w:p>
    <w:p w14:paraId="07899E71" w14:textId="77777777" w:rsidR="005E5F0B" w:rsidRDefault="005E5F0B" w:rsidP="005E5F0B">
      <w:pPr>
        <w:rPr>
          <w:rFonts w:ascii="Times New Roman" w:hAnsi="Times New Roman" w:cs="Times New Roman"/>
          <w:sz w:val="20"/>
          <w:szCs w:val="20"/>
        </w:rPr>
      </w:pPr>
      <w:r w:rsidRPr="007D589C">
        <w:rPr>
          <w:rFonts w:ascii="Times New Roman" w:hAnsi="Times New Roman" w:cs="Times New Roman"/>
          <w:i/>
          <w:iCs/>
          <w:sz w:val="20"/>
          <w:szCs w:val="20"/>
        </w:rPr>
        <w:t>Note.</w:t>
      </w:r>
      <w:r w:rsidRPr="007D589C">
        <w:rPr>
          <w:rFonts w:ascii="Times New Roman" w:hAnsi="Times New Roman" w:cs="Times New Roman"/>
          <w:sz w:val="20"/>
          <w:szCs w:val="20"/>
        </w:rPr>
        <w:t xml:space="preserve"> EC = Early Childhood (ages 3-5), MC = Middle Childhood (ages 6-11); the measures are ordered in the hierarchical developmental order as per the </w:t>
      </w:r>
      <w:r w:rsidRPr="007D589C">
        <w:rPr>
          <w:rFonts w:ascii="Times New Roman" w:hAnsi="Times New Roman" w:cs="Times New Roman"/>
          <w:i/>
          <w:iCs/>
          <w:sz w:val="20"/>
          <w:szCs w:val="20"/>
        </w:rPr>
        <w:t>developmental model</w:t>
      </w:r>
      <w:r w:rsidRPr="007D589C">
        <w:rPr>
          <w:rFonts w:ascii="Times New Roman" w:hAnsi="Times New Roman" w:cs="Times New Roman"/>
          <w:sz w:val="20"/>
          <w:szCs w:val="20"/>
        </w:rPr>
        <w:t xml:space="preserve"> and hypothesis</w:t>
      </w:r>
      <w:r>
        <w:rPr>
          <w:rFonts w:ascii="Times New Roman" w:hAnsi="Times New Roman" w:cs="Times New Roman"/>
          <w:sz w:val="20"/>
          <w:szCs w:val="20"/>
        </w:rPr>
        <w:t xml:space="preserve"> 1</w:t>
      </w:r>
    </w:p>
    <w:p w14:paraId="45901BB5" w14:textId="77777777" w:rsidR="005E5F0B" w:rsidRDefault="005E5F0B" w:rsidP="005E5F0B">
      <w:pPr>
        <w:rPr>
          <w:rFonts w:ascii="Times New Roman" w:hAnsi="Times New Roman" w:cs="Times New Roman"/>
          <w:sz w:val="20"/>
          <w:szCs w:val="20"/>
        </w:rPr>
      </w:pPr>
    </w:p>
    <w:p w14:paraId="4483D39C" w14:textId="77777777" w:rsidR="005E5F0B" w:rsidRDefault="005E5F0B" w:rsidP="005E5F0B">
      <w:pPr>
        <w:rPr>
          <w:rFonts w:ascii="Times New Roman" w:hAnsi="Times New Roman" w:cs="Times New Roman"/>
          <w:sz w:val="20"/>
          <w:szCs w:val="20"/>
        </w:rPr>
      </w:pPr>
    </w:p>
    <w:p w14:paraId="1059CDE2" w14:textId="77777777" w:rsidR="005E5F0B" w:rsidRPr="007D589C" w:rsidRDefault="005E5F0B" w:rsidP="005E5F0B">
      <w:pPr>
        <w:rPr>
          <w:rFonts w:ascii="Times New Roman" w:hAnsi="Times New Roman" w:cs="Times New Roman"/>
          <w:sz w:val="20"/>
          <w:szCs w:val="20"/>
        </w:rPr>
      </w:pPr>
    </w:p>
    <w:p w14:paraId="603C1225" w14:textId="77777777" w:rsidR="005E5F0B" w:rsidRPr="007D589C" w:rsidRDefault="005E5F0B" w:rsidP="005E5F0B">
      <w:pPr>
        <w:rPr>
          <w:rFonts w:ascii="Times New Roman" w:hAnsi="Times New Roman" w:cs="Times New Roman"/>
          <w:i/>
          <w:iCs/>
          <w:sz w:val="24"/>
          <w:szCs w:val="24"/>
        </w:rPr>
      </w:pPr>
      <w:r w:rsidRPr="007D589C">
        <w:rPr>
          <w:rFonts w:ascii="Times New Roman" w:hAnsi="Times New Roman" w:cs="Times New Roman"/>
          <w:i/>
          <w:iCs/>
          <w:sz w:val="24"/>
          <w:szCs w:val="24"/>
          <w:highlight w:val="green"/>
        </w:rPr>
        <w:t>CUBIC</w:t>
      </w:r>
    </w:p>
    <w:p w14:paraId="3F747217" w14:textId="77777777" w:rsidR="00D97D3F" w:rsidRPr="007D589C" w:rsidRDefault="00D97D3F" w:rsidP="00D97D3F">
      <w:pPr>
        <w:rPr>
          <w:rFonts w:ascii="Times New Roman" w:hAnsi="Times New Roman" w:cs="Times New Roman"/>
          <w:sz w:val="24"/>
          <w:szCs w:val="24"/>
        </w:rPr>
      </w:pPr>
      <w:r w:rsidRPr="007D589C">
        <w:rPr>
          <w:rFonts w:ascii="Times New Roman" w:hAnsi="Times New Roman" w:cs="Times New Roman"/>
          <w:sz w:val="24"/>
          <w:szCs w:val="24"/>
        </w:rPr>
        <w:lastRenderedPageBreak/>
        <w:t>Figure 2.</w:t>
      </w:r>
    </w:p>
    <w:p w14:paraId="7149BAB0" w14:textId="77777777" w:rsidR="00D97D3F" w:rsidRDefault="00D97D3F" w:rsidP="00D97D3F">
      <w:pPr>
        <w:rPr>
          <w:rFonts w:ascii="Times New Roman" w:hAnsi="Times New Roman" w:cs="Times New Roman"/>
          <w:i/>
          <w:iCs/>
          <w:sz w:val="24"/>
          <w:szCs w:val="24"/>
        </w:rPr>
      </w:pPr>
      <w:r>
        <w:rPr>
          <w:noProof/>
        </w:rPr>
        <w:drawing>
          <wp:anchor distT="0" distB="0" distL="114300" distR="114300" simplePos="0" relativeHeight="251661312" behindDoc="0" locked="0" layoutInCell="1" allowOverlap="1" wp14:anchorId="3F4F7997" wp14:editId="66F867E6">
            <wp:simplePos x="0" y="0"/>
            <wp:positionH relativeFrom="margin">
              <wp:align>right</wp:align>
            </wp:positionH>
            <wp:positionV relativeFrom="paragraph">
              <wp:posOffset>293370</wp:posOffset>
            </wp:positionV>
            <wp:extent cx="5734050" cy="4260850"/>
            <wp:effectExtent l="0" t="0" r="0" b="6350"/>
            <wp:wrapSquare wrapText="bothSides"/>
            <wp:docPr id="13"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4050" cy="42608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7D589C">
        <w:rPr>
          <w:rFonts w:ascii="Times New Roman" w:hAnsi="Times New Roman" w:cs="Times New Roman"/>
          <w:i/>
          <w:iCs/>
          <w:sz w:val="24"/>
          <w:szCs w:val="24"/>
        </w:rPr>
        <w:t>Graph of Differences In “Don’t Know” Answers Between All TD and ID Groups</w:t>
      </w:r>
    </w:p>
    <w:p w14:paraId="348BE614" w14:textId="77777777" w:rsidR="00D97D3F" w:rsidRPr="007D589C" w:rsidRDefault="00D97D3F" w:rsidP="00D97D3F">
      <w:pPr>
        <w:rPr>
          <w:rFonts w:ascii="Times New Roman" w:hAnsi="Times New Roman" w:cs="Times New Roman"/>
          <w:i/>
          <w:iCs/>
          <w:sz w:val="24"/>
          <w:szCs w:val="24"/>
        </w:rPr>
      </w:pPr>
    </w:p>
    <w:p w14:paraId="760655B8" w14:textId="77777777" w:rsidR="00D97D3F" w:rsidRDefault="00D97D3F" w:rsidP="00D97D3F">
      <w:pPr>
        <w:rPr>
          <w:rFonts w:ascii="Times New Roman" w:hAnsi="Times New Roman" w:cs="Times New Roman"/>
          <w:sz w:val="24"/>
          <w:szCs w:val="24"/>
        </w:rPr>
      </w:pPr>
    </w:p>
    <w:p w14:paraId="6C13667B" w14:textId="77777777" w:rsidR="00D97D3F" w:rsidRDefault="00D97D3F" w:rsidP="00D97D3F">
      <w:pPr>
        <w:rPr>
          <w:rFonts w:ascii="Times New Roman" w:hAnsi="Times New Roman" w:cs="Times New Roman"/>
          <w:sz w:val="24"/>
          <w:szCs w:val="24"/>
        </w:rPr>
      </w:pPr>
    </w:p>
    <w:p w14:paraId="17984B14" w14:textId="77777777" w:rsidR="005E5F0B" w:rsidRPr="007D589C" w:rsidRDefault="005E5F0B" w:rsidP="005032D8">
      <w:pPr>
        <w:spacing w:line="480" w:lineRule="auto"/>
        <w:ind w:firstLine="720"/>
        <w:rPr>
          <w:rFonts w:ascii="Times New Roman" w:hAnsi="Times New Roman" w:cs="Times New Roman"/>
        </w:rPr>
      </w:pPr>
    </w:p>
    <w:p w14:paraId="5F37B0AE" w14:textId="77777777" w:rsidR="005032D8" w:rsidRPr="00D04966" w:rsidRDefault="005032D8" w:rsidP="00B71E79">
      <w:pPr>
        <w:rPr>
          <w:rFonts w:ascii="Times New Roman" w:hAnsi="Times New Roman" w:cs="Times New Roman"/>
          <w:sz w:val="24"/>
          <w:szCs w:val="24"/>
        </w:rPr>
      </w:pPr>
    </w:p>
    <w:p w14:paraId="7FDBC9AD" w14:textId="3F47D5F8" w:rsidR="00B71E79" w:rsidRDefault="00B71E79" w:rsidP="005348B3">
      <w:pPr>
        <w:spacing w:line="240" w:lineRule="auto"/>
        <w:rPr>
          <w:rFonts w:ascii="Times New Roman" w:hAnsi="Times New Roman" w:cs="Times New Roman"/>
          <w:sz w:val="20"/>
          <w:szCs w:val="20"/>
        </w:rPr>
      </w:pPr>
    </w:p>
    <w:p w14:paraId="41E855A6" w14:textId="17B8182E" w:rsidR="0041578B" w:rsidRPr="00C262E0" w:rsidRDefault="0041578B" w:rsidP="005348B3">
      <w:pPr>
        <w:spacing w:line="240" w:lineRule="auto"/>
        <w:rPr>
          <w:rFonts w:ascii="Times New Roman" w:hAnsi="Times New Roman" w:cs="Times New Roman"/>
          <w:sz w:val="20"/>
          <w:szCs w:val="20"/>
        </w:rPr>
      </w:pPr>
      <w:r>
        <w:rPr>
          <w:noProof/>
        </w:rPr>
        <w:drawing>
          <wp:inline distT="0" distB="0" distL="0" distR="0" wp14:anchorId="0C846BC4" wp14:editId="3CAA15C6">
            <wp:extent cx="5731510" cy="1575435"/>
            <wp:effectExtent l="0" t="0" r="2540" b="571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5"/>
                    <a:stretch>
                      <a:fillRect/>
                    </a:stretch>
                  </pic:blipFill>
                  <pic:spPr>
                    <a:xfrm>
                      <a:off x="0" y="0"/>
                      <a:ext cx="5731510" cy="1575435"/>
                    </a:xfrm>
                    <a:prstGeom prst="rect">
                      <a:avLst/>
                    </a:prstGeom>
                  </pic:spPr>
                </pic:pic>
              </a:graphicData>
            </a:graphic>
          </wp:inline>
        </w:drawing>
      </w:r>
    </w:p>
    <w:sectPr w:rsidR="0041578B" w:rsidRPr="00C262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eston Lyons" w:date="2021-04-02T20:56:00Z" w:initials="PL">
    <w:p w14:paraId="5E27D254" w14:textId="77777777" w:rsidR="00920D9E" w:rsidRDefault="00920D9E" w:rsidP="00920D9E">
      <w:pPr>
        <w:pStyle w:val="CommentText"/>
      </w:pPr>
      <w:r>
        <w:rPr>
          <w:rStyle w:val="CommentReference"/>
        </w:rPr>
        <w:annotationRef/>
      </w:r>
      <w:r>
        <w:rPr>
          <w:rStyle w:val="CommentReference"/>
        </w:rPr>
        <w:annotationRef/>
      </w:r>
      <w:r>
        <w:t>FOR PRESTON: double check this</w:t>
      </w:r>
    </w:p>
  </w:comment>
  <w:comment w:id="1" w:author="Microsoft Office User" w:date="2021-04-15T13:25:00Z" w:initials="MOU">
    <w:p w14:paraId="38BCDC4C" w14:textId="77777777" w:rsidR="00920D9E" w:rsidRDefault="00920D9E" w:rsidP="00920D9E">
      <w:pPr>
        <w:pStyle w:val="CommentText"/>
      </w:pPr>
      <w:r>
        <w:rPr>
          <w:rStyle w:val="CommentReference"/>
        </w:rPr>
        <w:annotationRef/>
      </w:r>
      <w:r>
        <w:t>Add statement that your work is part of a larger research programme using a more comprehensive survey, and that data were collected prior to your involvement, and you are just using a few sections of it</w:t>
      </w:r>
    </w:p>
  </w:comment>
  <w:comment w:id="2" w:author="Preston Lyons" w:date="2021-04-02T19:46:00Z" w:initials="PL">
    <w:p w14:paraId="32E7C4D8" w14:textId="77777777" w:rsidR="004A3E0C" w:rsidRDefault="004A3E0C" w:rsidP="004A3E0C">
      <w:pPr>
        <w:pStyle w:val="CommentText"/>
      </w:pPr>
      <w:r>
        <w:rPr>
          <w:rStyle w:val="CommentReference"/>
        </w:rPr>
        <w:annotationRef/>
      </w:r>
      <w:r>
        <w:t>Should the footnote (it won’t be left as a footnote!) be an appendix or included in text? (1/2)</w:t>
      </w:r>
    </w:p>
  </w:comment>
  <w:comment w:id="3" w:author="Microsoft Office User" w:date="2021-04-15T13:28:00Z" w:initials="MOU">
    <w:p w14:paraId="00776651" w14:textId="77777777" w:rsidR="004A3E0C" w:rsidRDefault="004A3E0C" w:rsidP="004A3E0C">
      <w:pPr>
        <w:pStyle w:val="CommentText"/>
      </w:pPr>
      <w:r>
        <w:rPr>
          <w:rStyle w:val="CommentReference"/>
        </w:rPr>
        <w:annotationRef/>
      </w:r>
      <w:r>
        <w:t>Summarise in text</w:t>
      </w:r>
    </w:p>
  </w:comment>
  <w:comment w:id="4" w:author="Preston Lyons" w:date="2021-04-02T20:43:00Z" w:initials="PL">
    <w:p w14:paraId="15A602BE" w14:textId="77777777" w:rsidR="005348B3" w:rsidRDefault="005348B3" w:rsidP="005348B3">
      <w:pPr>
        <w:pStyle w:val="CommentText"/>
      </w:pPr>
      <w:r>
        <w:rPr>
          <w:rStyle w:val="CommentReference"/>
        </w:rPr>
        <w:annotationRef/>
      </w:r>
      <w:r>
        <w:t>The materials said “</w:t>
      </w:r>
      <w:r>
        <w:rPr>
          <w:rFonts w:ascii="Garamond" w:hAnsi="Garamond"/>
          <w:sz w:val="24"/>
        </w:rPr>
        <w:t>These covered reliability, behaviour, and corroborative evidence” – what does this mean and do I need to incorporate it?</w:t>
      </w:r>
    </w:p>
  </w:comment>
  <w:comment w:id="5" w:author="Microsoft Office User" w:date="2021-04-15T13:45:00Z" w:initials="MOU">
    <w:p w14:paraId="1CC3FA6F" w14:textId="77777777" w:rsidR="005348B3" w:rsidRDefault="005348B3" w:rsidP="005348B3">
      <w:pPr>
        <w:pStyle w:val="CommentText"/>
      </w:pPr>
      <w:r>
        <w:rPr>
          <w:rStyle w:val="CommentReference"/>
        </w:rPr>
        <w:annotationRef/>
      </w:r>
      <w:r>
        <w:t>Take a screen shot of part of the survey that shows the likert rating scale and an item, plus the groups of witnesses they are thinking about, and use as a figure to illustrate all of this info</w:t>
      </w:r>
    </w:p>
  </w:comment>
  <w:comment w:id="6" w:author="Preston Lyons" w:date="2021-04-02T19:42:00Z" w:initials="PL">
    <w:p w14:paraId="256B2BC6" w14:textId="77777777" w:rsidR="005348B3" w:rsidRDefault="005348B3" w:rsidP="005348B3">
      <w:pPr>
        <w:pStyle w:val="CommentText"/>
      </w:pPr>
      <w:r>
        <w:rPr>
          <w:rStyle w:val="CommentReference"/>
        </w:rPr>
        <w:annotationRef/>
      </w:r>
      <w:r>
        <w:t>Do we need a comment about it being completed at home on personal computers? No</w:t>
      </w:r>
    </w:p>
  </w:comment>
  <w:comment w:id="7" w:author="Preston Lyons" w:date="2021-04-02T19:42:00Z" w:initials="PL">
    <w:p w14:paraId="1B7B0E4B" w14:textId="77777777" w:rsidR="005348B3" w:rsidRDefault="005348B3" w:rsidP="005348B3">
      <w:pPr>
        <w:pStyle w:val="CommentText"/>
      </w:pPr>
      <w:r>
        <w:rPr>
          <w:rStyle w:val="CommentReference"/>
        </w:rPr>
        <w:annotationRef/>
      </w:r>
      <w:r>
        <w:t>Note: we didn’t use the free response questions (items 18, 27, 39, 50, &amp; 59</w:t>
      </w:r>
    </w:p>
  </w:comment>
  <w:comment w:id="8" w:author="Microsoft Office User" w:date="2021-04-15T13:34:00Z" w:initials="MOU">
    <w:p w14:paraId="5AE01209" w14:textId="77777777" w:rsidR="005348B3" w:rsidRDefault="005348B3" w:rsidP="005348B3">
      <w:pPr>
        <w:pStyle w:val="CommentText"/>
      </w:pPr>
      <w:r>
        <w:rPr>
          <w:rStyle w:val="CommentReference"/>
        </w:rPr>
        <w:annotationRef/>
      </w:r>
      <w:r>
        <w:t>Again you can describe that the survey was comprised of likert rating items and free text responses but you will only present analysis of the rating scale items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7D254" w15:done="1"/>
  <w15:commentEx w15:paraId="38BCDC4C" w15:done="1"/>
  <w15:commentEx w15:paraId="32E7C4D8" w15:done="1"/>
  <w15:commentEx w15:paraId="00776651" w15:paraIdParent="32E7C4D8" w15:done="1"/>
  <w15:commentEx w15:paraId="15A602BE" w15:done="1"/>
  <w15:commentEx w15:paraId="1CC3FA6F" w15:done="1"/>
  <w15:commentEx w15:paraId="256B2BC6" w15:done="1"/>
  <w15:commentEx w15:paraId="1B7B0E4B" w15:done="1"/>
  <w15:commentEx w15:paraId="5AE012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20385" w16cex:dateUtc="2021-04-02T07:56:00Z"/>
  <w16cex:commentExtensible w16cex:durableId="2463EABE" w16cex:dateUtc="2021-04-02T06:46:00Z"/>
  <w16cex:commentExtensible w16cex:durableId="24120061" w16cex:dateUtc="2021-04-02T07:43:00Z"/>
  <w16cex:commentExtensible w16cex:durableId="2411F23E" w16cex:dateUtc="2021-04-02T06:42:00Z"/>
  <w16cex:commentExtensible w16cex:durableId="2411F217" w16cex:dateUtc="2021-04-02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7D254" w16cid:durableId="24120385"/>
  <w16cid:commentId w16cid:paraId="38BCDC4C" w16cid:durableId="2422BD64"/>
  <w16cid:commentId w16cid:paraId="32E7C4D8" w16cid:durableId="2463EABE"/>
  <w16cid:commentId w16cid:paraId="00776651" w16cid:durableId="2463EABD"/>
  <w16cid:commentId w16cid:paraId="15A602BE" w16cid:durableId="24120061"/>
  <w16cid:commentId w16cid:paraId="1CC3FA6F" w16cid:durableId="2422C212"/>
  <w16cid:commentId w16cid:paraId="256B2BC6" w16cid:durableId="2411F23E"/>
  <w16cid:commentId w16cid:paraId="1B7B0E4B" w16cid:durableId="2411F217"/>
  <w16cid:commentId w16cid:paraId="5AE01209" w16cid:durableId="2422BF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0BA64" w14:textId="77777777" w:rsidR="007A4027" w:rsidRDefault="007A4027" w:rsidP="00AA2747">
      <w:pPr>
        <w:spacing w:after="0" w:line="240" w:lineRule="auto"/>
      </w:pPr>
      <w:r>
        <w:separator/>
      </w:r>
    </w:p>
  </w:endnote>
  <w:endnote w:type="continuationSeparator" w:id="0">
    <w:p w14:paraId="369B1B00" w14:textId="77777777" w:rsidR="007A4027" w:rsidRDefault="007A4027" w:rsidP="00AA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3B5D" w14:textId="77777777" w:rsidR="007A4027" w:rsidRDefault="007A4027" w:rsidP="00AA2747">
      <w:pPr>
        <w:spacing w:after="0" w:line="240" w:lineRule="auto"/>
      </w:pPr>
      <w:r>
        <w:separator/>
      </w:r>
    </w:p>
  </w:footnote>
  <w:footnote w:type="continuationSeparator" w:id="0">
    <w:p w14:paraId="6922F740" w14:textId="77777777" w:rsidR="007A4027" w:rsidRDefault="007A4027" w:rsidP="00AA2747">
      <w:pPr>
        <w:spacing w:after="0" w:line="240" w:lineRule="auto"/>
      </w:pPr>
      <w:r>
        <w:continuationSeparator/>
      </w:r>
    </w:p>
  </w:footnote>
  <w:footnote w:id="1">
    <w:p w14:paraId="3C4858E5" w14:textId="77777777" w:rsidR="00D666FF" w:rsidRPr="00A23A83" w:rsidRDefault="00D666FF" w:rsidP="00D666FF">
      <w:pPr>
        <w:pStyle w:val="FootnoteText"/>
        <w:rPr>
          <w:rFonts w:ascii="Times New Roman" w:hAnsi="Times New Roman" w:cs="Times New Roman"/>
        </w:rPr>
      </w:pPr>
      <w:r w:rsidRPr="00A23A83">
        <w:rPr>
          <w:rStyle w:val="FootnoteReference"/>
          <w:rFonts w:ascii="Times New Roman" w:hAnsi="Times New Roman" w:cs="Times New Roman"/>
        </w:rPr>
        <w:footnoteRef/>
      </w:r>
      <w:r w:rsidRPr="00A23A83">
        <w:rPr>
          <w:rFonts w:ascii="Times New Roman" w:hAnsi="Times New Roman" w:cs="Times New Roman"/>
        </w:rPr>
        <w:t xml:space="preserve"> Borderline Intellectual Functioning (BIF), which describes people whose IQ’s lie between normal intellectual functioning and ID (IQ scores between 70 and 85), was used in earlier versions of the DSM (I-IV), but is not used in the DSM-V, nor is it considered a disorder/disability, because the IQ-based criterion is no longer used to classify ID’s (Wieland &amp; </w:t>
      </w:r>
      <w:proofErr w:type="spellStart"/>
      <w:r w:rsidRPr="00A23A83">
        <w:rPr>
          <w:rFonts w:ascii="Times New Roman" w:hAnsi="Times New Roman" w:cs="Times New Roman"/>
        </w:rPr>
        <w:t>Zitman</w:t>
      </w:r>
      <w:proofErr w:type="spellEnd"/>
      <w:r w:rsidRPr="00A23A83">
        <w:rPr>
          <w:rFonts w:ascii="Times New Roman" w:hAnsi="Times New Roman" w:cs="Times New Roman"/>
        </w:rPr>
        <w:t xml:space="preserve">, 2016; APA, 2013). Regardless, taking those with BIF out of the </w:t>
      </w:r>
      <w:proofErr w:type="spellStart"/>
      <w:r w:rsidRPr="00A23A83">
        <w:rPr>
          <w:rFonts w:ascii="Times New Roman" w:hAnsi="Times New Roman" w:cs="Times New Roman"/>
        </w:rPr>
        <w:t>Cockram</w:t>
      </w:r>
      <w:proofErr w:type="spellEnd"/>
      <w:r w:rsidRPr="00A23A83">
        <w:rPr>
          <w:rFonts w:ascii="Times New Roman" w:hAnsi="Times New Roman" w:cs="Times New Roman"/>
        </w:rPr>
        <w:t xml:space="preserve"> (2005) study still means those with a mild ID make up 81% of those in custody in their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7A432E5"/>
    <w:multiLevelType w:val="hybridMultilevel"/>
    <w:tmpl w:val="159678A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ston Lyons">
    <w15:presenceInfo w15:providerId="Windows Live" w15:userId="5eadf4f55d0a46f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1B"/>
    <w:rsid w:val="00002875"/>
    <w:rsid w:val="0009303B"/>
    <w:rsid w:val="00252207"/>
    <w:rsid w:val="00352708"/>
    <w:rsid w:val="003D0FCC"/>
    <w:rsid w:val="0041578B"/>
    <w:rsid w:val="004A3E0C"/>
    <w:rsid w:val="005032D8"/>
    <w:rsid w:val="005348B3"/>
    <w:rsid w:val="005E5F0B"/>
    <w:rsid w:val="00646646"/>
    <w:rsid w:val="007A4027"/>
    <w:rsid w:val="00920D9E"/>
    <w:rsid w:val="00A10E30"/>
    <w:rsid w:val="00A44D49"/>
    <w:rsid w:val="00AA2747"/>
    <w:rsid w:val="00B069C3"/>
    <w:rsid w:val="00B70A48"/>
    <w:rsid w:val="00B71E79"/>
    <w:rsid w:val="00B8099D"/>
    <w:rsid w:val="00B97B96"/>
    <w:rsid w:val="00C634FE"/>
    <w:rsid w:val="00C8421B"/>
    <w:rsid w:val="00CC1621"/>
    <w:rsid w:val="00D666FF"/>
    <w:rsid w:val="00D97D3F"/>
    <w:rsid w:val="00E2650E"/>
    <w:rsid w:val="00E761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0E44"/>
  <w15:chartTrackingRefBased/>
  <w15:docId w15:val="{DF4B6450-143C-4ECD-92CA-F89AAC62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1B"/>
    <w:pPr>
      <w:ind w:left="720"/>
      <w:contextualSpacing/>
    </w:pPr>
  </w:style>
  <w:style w:type="character" w:styleId="FootnoteReference">
    <w:name w:val="footnote reference"/>
    <w:basedOn w:val="DefaultParagraphFont"/>
    <w:uiPriority w:val="99"/>
    <w:semiHidden/>
    <w:unhideWhenUsed/>
    <w:rsid w:val="00C8421B"/>
    <w:rPr>
      <w:vertAlign w:val="superscript"/>
    </w:rPr>
  </w:style>
  <w:style w:type="paragraph" w:styleId="FootnoteText">
    <w:name w:val="footnote text"/>
    <w:basedOn w:val="Normal"/>
    <w:link w:val="FootnoteTextChar"/>
    <w:uiPriority w:val="99"/>
    <w:semiHidden/>
    <w:unhideWhenUsed/>
    <w:rsid w:val="00AA27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2747"/>
    <w:rPr>
      <w:sz w:val="20"/>
      <w:szCs w:val="20"/>
    </w:rPr>
  </w:style>
  <w:style w:type="character" w:customStyle="1" w:styleId="Heading1Char">
    <w:name w:val="Heading 1 Char"/>
    <w:basedOn w:val="DefaultParagraphFont"/>
    <w:link w:val="Heading1"/>
    <w:uiPriority w:val="9"/>
    <w:rsid w:val="00920D9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20D9E"/>
    <w:rPr>
      <w:sz w:val="16"/>
      <w:szCs w:val="16"/>
    </w:rPr>
  </w:style>
  <w:style w:type="paragraph" w:styleId="CommentText">
    <w:name w:val="annotation text"/>
    <w:basedOn w:val="Normal"/>
    <w:link w:val="CommentTextChar"/>
    <w:uiPriority w:val="99"/>
    <w:semiHidden/>
    <w:unhideWhenUsed/>
    <w:rsid w:val="00920D9E"/>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semiHidden/>
    <w:rsid w:val="00920D9E"/>
    <w:rPr>
      <w:rFonts w:ascii="Times New Roman" w:eastAsia="Times New Roman" w:hAnsi="Times New Roman" w:cs="Times New Roman"/>
      <w:sz w:val="20"/>
      <w:szCs w:val="20"/>
      <w:lang w:eastAsia="en-GB"/>
    </w:rPr>
  </w:style>
  <w:style w:type="character" w:customStyle="1" w:styleId="Heading2Char">
    <w:name w:val="Heading 2 Char"/>
    <w:basedOn w:val="DefaultParagraphFont"/>
    <w:link w:val="Heading2"/>
    <w:uiPriority w:val="9"/>
    <w:rsid w:val="004A3E0C"/>
    <w:rPr>
      <w:rFonts w:asciiTheme="majorHAnsi" w:eastAsiaTheme="majorEastAsia" w:hAnsiTheme="majorHAnsi" w:cstheme="majorBidi"/>
      <w:color w:val="2F5496" w:themeColor="accent1" w:themeShade="BF"/>
      <w:sz w:val="26"/>
      <w:szCs w:val="26"/>
    </w:rPr>
  </w:style>
  <w:style w:type="paragraph" w:customStyle="1" w:styleId="Compact">
    <w:name w:val="Compact"/>
    <w:basedOn w:val="BodyText"/>
    <w:qFormat/>
    <w:rsid w:val="005348B3"/>
    <w:pPr>
      <w:spacing w:before="36" w:after="36" w:line="240" w:lineRule="auto"/>
    </w:pPr>
    <w:rPr>
      <w:sz w:val="24"/>
      <w:szCs w:val="24"/>
      <w:lang w:val="en-US"/>
    </w:rPr>
  </w:style>
  <w:style w:type="table" w:customStyle="1" w:styleId="Table">
    <w:name w:val="Table"/>
    <w:semiHidden/>
    <w:qFormat/>
    <w:rsid w:val="005348B3"/>
    <w:pPr>
      <w:spacing w:after="200" w:line="240" w:lineRule="auto"/>
    </w:pPr>
    <w:rPr>
      <w:sz w:val="24"/>
      <w:szCs w:val="24"/>
      <w:lang w:val="en-US" w:eastAsia="en-NZ"/>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NoSpacing">
    <w:name w:val="No Spacing"/>
    <w:uiPriority w:val="1"/>
    <w:qFormat/>
    <w:rsid w:val="005348B3"/>
    <w:pPr>
      <w:spacing w:after="0" w:line="240" w:lineRule="auto"/>
    </w:pPr>
  </w:style>
  <w:style w:type="paragraph" w:styleId="BodyText">
    <w:name w:val="Body Text"/>
    <w:basedOn w:val="Normal"/>
    <w:link w:val="BodyTextChar"/>
    <w:uiPriority w:val="99"/>
    <w:semiHidden/>
    <w:unhideWhenUsed/>
    <w:rsid w:val="005348B3"/>
    <w:pPr>
      <w:spacing w:after="120"/>
    </w:pPr>
  </w:style>
  <w:style w:type="character" w:customStyle="1" w:styleId="BodyTextChar">
    <w:name w:val="Body Text Char"/>
    <w:basedOn w:val="DefaultParagraphFont"/>
    <w:link w:val="BodyText"/>
    <w:uiPriority w:val="99"/>
    <w:semiHidden/>
    <w:rsid w:val="005348B3"/>
  </w:style>
  <w:style w:type="paragraph" w:styleId="NormalWeb">
    <w:name w:val="Normal (Web)"/>
    <w:basedOn w:val="Normal"/>
    <w:uiPriority w:val="99"/>
    <w:unhideWhenUsed/>
    <w:rsid w:val="005E5F0B"/>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2035</Words>
  <Characters>11604</Characters>
  <Application>Microsoft Office Word</Application>
  <DocSecurity>0</DocSecurity>
  <Lines>96</Lines>
  <Paragraphs>27</Paragraphs>
  <ScaleCrop>false</ScaleCrop>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16</cp:revision>
  <dcterms:created xsi:type="dcterms:W3CDTF">2021-06-06T12:42:00Z</dcterms:created>
  <dcterms:modified xsi:type="dcterms:W3CDTF">2021-06-09T22:15:00Z</dcterms:modified>
</cp:coreProperties>
</file>