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e8f9a2b4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2024-05-20 15:30:00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违规率</w:t>
            </w:r>
          </w:p>
        </w:tc>
        <w:tc>
          <w:tcPr>
            <w:tcW w:type="dxa" w:w="4320"/>
          </w:tcPr>
          <w:p>
            <w:r>
              <w:t>0.97%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2160"/>
          </w:tcPr>
          <w:p>
            <w:r>
              <w:t>未戴安全帽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立即要求相关人员佩戴安全帽，加强现场监督。</w:t>
            </w:r>
          </w:p>
        </w:tc>
      </w:tr>
      <w:tr>
        <w:tc>
          <w:tcPr>
            <w:tcW w:type="dxa" w:w="2160"/>
          </w:tcPr>
          <w:p>
            <w:r>
              <w:t>未佩戴口罩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督促人员规范佩戴口罩，落实职业健康防护。</w:t>
            </w:r>
          </w:p>
        </w:tc>
      </w:tr>
      <w:tr>
        <w:tc>
          <w:tcPr>
            <w:tcW w:type="dxa" w:w="2160"/>
          </w:tcPr>
          <w:p>
            <w:r>
              <w:t>检测到烟雾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立即排查烟雾来源，消除火灾隐患，配备灭火器。</w:t>
            </w:r>
          </w:p>
        </w:tc>
      </w:tr>
      <w:tr>
        <w:tc>
          <w:tcPr>
            <w:tcW w:type="dxa" w:w="2160"/>
          </w:tcPr>
          <w:p>
            <w:r>
              <w:t>未穿反光背心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要求进入施工区域人员必须规范穿戴反光背心。</w:t>
            </w:r>
          </w:p>
        </w:tc>
      </w:tr>
      <w:tr>
        <w:tc>
          <w:tcPr>
            <w:tcW w:type="dxa" w:w="2160"/>
          </w:tcPr>
          <w:p>
            <w:r>
              <w:t>进入锥形桶管控区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加强管控区隔离与警示，严禁无关人员进入。</w:t>
            </w:r>
          </w:p>
        </w:tc>
      </w:tr>
    </w:tbl>
    <w:p>
      <w:pPr>
        <w:pStyle w:val="Heading1"/>
      </w:pPr>
      <w:r>
        <w:t>四、安全评估</w:t>
      </w:r>
    </w:p>
    <w:p>
      <w:r>
        <w:t>劳保用品：部分人员未戴安全帽、口罩和反光背心，PPE穿戴合规性较差，需立即整改。</w:t>
      </w:r>
    </w:p>
    <w:p>
      <w:r>
        <w:t>机械车辆：未检测到人员违规靠近机械或车辆的情况，机械车辆作业安全距离保持良好。</w:t>
      </w:r>
    </w:p>
    <w:p>
      <w:r>
        <w:t>管控区域：发现人员违规进入锥形桶管控区，禁区管控存在漏洞，需加强物理隔离与巡视。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立即纠正PPE违规穿戴，排查烟雾火灾隐患，强化管控区隔离与人员准入管理。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