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429B2D62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21:20:25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综合评价：现场存在多项严重违规，防护穿戴不全且有人闯入管控区，伴随烟雾火险，反映出人员安全意识淡薄与现场监管缺失，整体安全状况堪忧。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个人防护装备穿戴不规范</w:t>
      </w:r>
    </w:p>
    <w:p>
      <w:pPr>
        <w:pStyle w:val="ListBullet"/>
      </w:pPr>
      <w:r>
        <w:t>违规闯入危险管控区域</w:t>
      </w:r>
    </w:p>
    <w:p>
      <w:pPr>
        <w:pStyle w:val="ListBullet"/>
      </w:pPr>
      <w:r>
        <w:t>现场存在烟雾火灾隐患</w:t>
      </w:r>
    </w:p>
    <w:p/>
    <w:p>
      <w:r>
        <w:t>主要发现：核心问题在于人员防护意识差与区域管控失效，火险苗头叠加违章作业，急需强化现场监督与隐患排查。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立即排查烟雾源头消除火险；严格落实管控区警戒并增派专人巡视；开展全员安全教育，强制规范佩戴安全帽和反光背心，严惩违章行为。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