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DBDEF21D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21:28:08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综合评价：十秒内发生五起违规含三次严重违规，暴露出人员安全意识淡薄、区域管控及消防管理存在漏洞，现场潜在风险较高。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人员未规范佩戴安全防护装备</w:t>
      </w:r>
    </w:p>
    <w:p>
      <w:pPr>
        <w:pStyle w:val="ListBullet"/>
      </w:pPr>
      <w:r>
        <w:t>现场存在烟雾等消防安全隐患</w:t>
      </w:r>
    </w:p>
    <w:p>
      <w:pPr>
        <w:pStyle w:val="ListBullet"/>
      </w:pPr>
      <w:r>
        <w:t>危险区域锥形桶管控隔离失效</w:t>
      </w:r>
    </w:p>
    <w:p/>
    <w:p>
      <w:r>
        <w:t>主要发现：突出问题是个人防护缺失与违规闯入管控区。需强化入场检查与现场动态巡查，全面提升全员安全规矩意识。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立即排查烟雾源头消除火患；严格落实入场劳保穿戴检查；加固锥形桶硬隔离设施，增设危险区警示标志并安排专人盯防，加大违章处罚力度。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