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建筑施工现场安全隐患检测报告</w:t>
      </w:r>
    </w:p>
    <w:p>
      <w:r>
        <w:t>报告生成时间: 2026-04-09 16:29:17</w:t>
      </w:r>
    </w:p>
    <w:p>
      <w:r>
        <w:t>数据范围: 2026-04-07 至 2026-04-08</w:t>
      </w:r>
    </w:p>
    <w:p/>
    <w:p>
      <w:pPr>
        <w:pStyle w:val="Heading1"/>
      </w:pPr>
      <w:r>
        <w:t>一、检测概况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检测记录总数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检测目标总数</w:t>
            </w:r>
          </w:p>
        </w:tc>
        <w:tc>
          <w:tcPr>
            <w:tcW w:type="dxa" w:w="4320"/>
          </w:tcPr>
          <w:p>
            <w:r>
              <w:t>1469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违规记录总数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视频总时长</w:t>
            </w:r>
          </w:p>
        </w:tc>
        <w:tc>
          <w:tcPr>
            <w:tcW w:type="dxa" w:w="4320"/>
          </w:tcPr>
          <w:p>
            <w:r>
              <w:t>27.9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报告生成时间</w:t>
            </w:r>
          </w:p>
        </w:tc>
        <w:tc>
          <w:tcPr>
            <w:tcW w:type="dxa" w:w="4320"/>
          </w:tcPr>
          <w:p>
            <w:r>
              <w:t>2026-04-09 16:29:17</w:t>
            </w:r>
          </w:p>
        </w:tc>
      </w:tr>
    </w:tbl>
    <w:p>
      <w:pPr>
        <w:pStyle w:val="Heading1"/>
      </w:pPr>
      <w:r>
        <w:t>二、违规类型统计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未戴安全帽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未穿反光背心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>
      <w:pPr>
        <w:pStyle w:val="Heading1"/>
      </w:pPr>
      <w:r>
        <w:t>三、违规截图</w:t>
      </w:r>
    </w:p>
    <w:p>
      <w:r>
        <w:t>共 2 张违规截图：</w:t>
      </w:r>
    </w:p>
    <w:p/>
    <w:p>
      <w:r>
        <w:rPr>
          <w:b/>
        </w:rPr>
        <w:t>未戴安全帽 - 帧 0 (0.0s)</w:t>
      </w:r>
    </w:p>
    <w:p/>
    <w:p>
      <w:r>
        <w:rPr>
          <w:b/>
        </w:rPr>
        <w:t>未穿反光背心 - 帧 0 (0.0s)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