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Assignment 7: Logic-Based Approaches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Rebecca Ly &amp; Don Stuart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House Votes Data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Classification Accuracy 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ZeroR*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61.8%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JRip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59.7%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DTNB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57.4%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Classification Accuracy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62.1%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BFTree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61.8%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DecisionStump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61.8%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56.5%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54.9%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*baseline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ZeroR served as the baseline. Most of the other learning algorithms had classification accuracies ranging in the 50% percentile range. The lowest classification accuracy was when Prism was used giving 35.4%. The highest classification accuracy was when ZeroR and Decision Table was used which gave 61.8%.The learning algorithm that gave off the highest classification accuracy was REPTree of 62.1% and the lowest classification accuracy was given by FT of 54.9%.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ZeroR (Baseline Statistic):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Sepal Length: 39.3%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Sepal Width: 36.3%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Petal Length: 36.7%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Petal Width: 36%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Class: 33.3%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 the above rule using each attribute individually. The 33.3% class breakdown is due to there being a total of 3 classes, each of which get equally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Iris Data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Classification Accuracy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JRip &amp; 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95.4%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Decision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Conjunctive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66.7%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ZeroR*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33.3%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6.7%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Classification Accuracy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BFTree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94.7%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DecisionStump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66.7%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*baseline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highest classification accuracy was using the learning algorithms, JRip &amp; PART. The lowest classification accuracy was when PRISM was used. Most of the learning algorithms under “Tree” centered around 94% with the highest classification accuracy in BFTree with 95.3%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