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Bathtub B2C Custom Business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Competitive Analysis  ·  Executive Brief  /  2-Minute Read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18 June 2026  ·  Kreiner Group</w:t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Key Conclusions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Findings (4 Points)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Global white space: No brand combines acrylic + genuine shape customisation + B2C online ordering. This is an unclaimed market.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Biggest threat — Badeloft (stone resin): Complete digital funnel, but limited to size/colour adjustments only; heavy material; punishing returns policy.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Empava is the largest acrylic B2C player but sells standard catalogue only — no true customisation, poor customer service reviews.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Demand is proven: CopperSmith has “thousands of 5-star reviews”; Badeloft wins awards yearly. Mid-market acrylic custom is where the gap sits.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Competitor Snapshot (Top 8)</w:t>
      </w:r>
    </w:p>
    <w:p>
      <w:pPr>
        <w:spacing w:after="30" w:before="30"/>
      </w:pPr>
      <w:r>
        <w:t xml:space="preserve"/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Threat level: HIGH = direct competition | MED = partial overlap | LOW = different material or market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60"/>
        <w:gridCol w:w="1100"/>
        <w:gridCol w:w="1300"/>
        <w:gridCol w:w="3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B2C Digital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Badeloft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badeloftusa.com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Stone resin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★★★★★ Online instant order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HIGH: strongest B2C digital competitor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Empava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empava.com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Acrylic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★★★★☆ Shopify direct buy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HIGH: same material + B2C, no real custom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MTI Baths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mtibaths.com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Composite stone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Needs consultant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MED: premium market overlap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Weprofab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weprofab.com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Acrylic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B2B enquiry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MED: same material but B2B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KingKonree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kkrstone.com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Solid surface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Website + enquiry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MED: acrylic-adjacent, B2B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CopperSmith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worldcoppersmith.com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Copper/steel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★★★☆☆ Concierge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LOW: different material, ultra-premium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Hansel Stone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hanselstone.co.uk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Natural stone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Form enquiry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LOW: ultra-premium, UK market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Design &amp; Form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designandform.com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Proprietary composite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★★☆☆☆ Phone + showroom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LOW: ultra-premium B2B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Badeloft Sales Funnel (7 Stages)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 (1–2 sentences)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 Traffic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Weekly blog content (bathroom trends, buying guides) targets “custom bathtub” + “freestanding tub” keywords. Coverage by Architectural Digest, Elle Decor builds domain authority.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Sample
(Lead Magnet)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Homepage pop-up offers a free material sample: 5-step form captures contact details; ships a 4-inch stone-resin swatch + life-size paper floor template + high-res catalogue to the customer’s home.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Browse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Shop by colour / series / size; each listing has multi-angle photos, tech specs, and reviews. The prominent “Custom Tub Builder” CTA actually redirects to the standard catalogue — no genuine design tool.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Paid Design
Consultation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$299 per bathroom, credited toward purchase; designer matched in 24–48 hrs, delivers photorealistic render + floor plan + shopping list. Functions as a pre-qualification funnel — buyers who pay almost always convert.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&amp; 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 checkout with credit card or Affirm 0% APR financing (a $3,000 tub becomes ~$100/month). Hold-and-Ship lets buyers lock an order and schedule delivery around their renovation timeline.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Freight carrier calls ahead; delivers curbside only. Shipping $199–$499; in-stock items 5–10 business days, back-order up to 8 weeks. Stone-resin weight (200–350 lbs) means customers must arrange multiple helpers on delivery day.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After-Sale / Returns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10-year residential warranty. Returns window is only 14 days; customer pays original + return freight + 10% restocking fee — returning a $3,000 tub can cost the buyer $600–$900 extra.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Top 5 Things to Copy from Badeloft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Free Material Sample + Floor Template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Ship acrylic swatches (matte/gloss/multi-colour) plus an A4 bathtub outline; use the sample request form as a natural lead-capture mechanism. Upgrade: add an AR viewer so customers see the tub placed in their bathroom via smartphone — acrylic’s lighter density makes 3D modelling easier than stone resin.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Paid Design Consultation (credited to order)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 $399 per session, fully credited at checkout; includes 3D render + signed design specification. This pre-qualifies serious buyers and enables genuine shape customisation — something Badeloft’s flat $299 offer cannot match because their “custom” is size/colour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Buy-Now-Pay-Later Financing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Afterpay / Zip Pay (Australian equivalents of Affirm). A $4,000 custom tub at $130/month removes the biggest psychological barrier for mid-market buyers and unlocks a segment Badeloft cannot serve from the US.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Programme for Designers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Offer designers exclusive pricing (15–25% off retail) + sample priority + dedicated account contact. Key pitch: “We manufacture directly from your CAD drawings — any curve, any dimension.” Badeloft’s Trade Programme explicitly excludes external design files; this is our structural advantage.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SEO Content Marketing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 the “custom acrylic bathtub” and “bespoke bathtub australia” keyword clusters — currently no authoritative answer exists. Publish a head-to-head “Acrylic vs. Stone Resin” article that directly counters Badeloft’s “cheaper material” narrative with technical data (formability, weight, repairability, cost).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Badeloft’s Weaknesses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Structural Weaknesses — Our Opportunity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No true shape customisation: the “Custom Tub Builder” is a mislabelled catalogue page; only size and colour adjustments are possible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Heavy and awkward to install: stone resin weighs 200–350 lbs dry; curbside-only delivery means customers must arrange a 3–4-person crew — often a nasty surprise post-purchase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Punishing returns policy: 14-day window + customer pays both-way freight + 10% restock fee; total cost of returning a $3,000 tub can reach $600–$900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US/Canada only: no Australian or NZ shipping; local production and service delivery is a moat Badeloft cannot replicate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Our Differentiation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Acrylic B2C Custom Bathtubs — Positioning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Unique position: the world’s first brand combining acrylic + genuine shape customisation + direct B2C online ordering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Material advantages: highest formability of any bathtub material; lightest weight (low freight cost, simple installation); easy surface repair; 30–50% lower price than stone resin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Design advantage: we manufacture directly from customer or designer CAD files — any curve or form is possible; no competitor offers this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Experience advantage: production progress updates with photos/video throughout manufacturing; signed design spec sheet protects both parties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▶  Geographic moat: Australian local production and service; Badeloft cannot match same-country turnaround and after-sales support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hd w:fill="1F4E79" w:val="clear"/>
        <w:spacing w:after="120" w:before="20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Immediate Action Checklist</w:t>
      </w:r>
    </w:p>
    <w:p>
      <w:pPr>
        <w:spacing w:after="30" w:before="30"/>
      </w:pPr>
      <w:r>
        <w:t xml:space="preserve"/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Launch a “Free Material Sample” request page: acrylic swatches + bathtub floor template, with an inline lead-capture form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a “Paid Design Consultation” offering: AUD $399, fully credited to order value; deliver 3D render + signed spec sheet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 a Houzz brand profile: upload completed project photos and request reviews from existing clients; target 10 reviews within 30 days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Publish first SEO articles: “Custom Acrylic Bathtub: The Complete Guide” and “Acrylic vs. Stone Resin Bathtubs: Which Is Right for You?”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Launch a Trade Programme: invite 5–10 local designers with exclusive pricing + CAD-to-production offer; set up a dedicated contact line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Kreiner Group Internal Research  ·  Confidential  ·  18 June 2026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7"/>
        <w:szCs w:val="17"/>
      </w:rPr>
      <w:t xml:space="preserve">Kreiner Group Internal Research  ·  Confidential</w:t>
    </w:r>
    <w:r>
      <w:rPr>
        <w:rFonts w:ascii="Arial" w:cs="Arial" w:eastAsia="Arial" w:hAnsi="Arial"/>
        <w:color w:val="AAAAAA"/>
        <w:sz w:val="17"/>
        <w:szCs w:val="17"/>
      </w:rPr>
      <w:t xml:space="preserve">	Page </w:t>
    </w:r>
    <w:r>
      <w:rPr>
        <w:rFonts w:ascii="Arial" w:cs="Arial" w:eastAsia="Arial" w:hAnsi="Arial"/>
        <w:color w:val="AAAAA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7"/>
        <w:szCs w:val="17"/>
      </w:rPr>
      <w:t xml:space="preserve">Bathtub B2C – Executive Brief</w:t>
    </w:r>
    <w:r>
      <w:rPr>
        <w:rFonts w:ascii="Arial" w:cs="Arial" w:eastAsia="Arial" w:hAnsi="Arial"/>
        <w:color w:val="888888"/>
        <w:sz w:val="17"/>
        <w:szCs w:val="17"/>
      </w:rPr>
      <w:t xml:space="preserve">	June 2026  ·  Kreiner Group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2026-06-18T09:26:21.566Z</dcterms:created>
  <dcterms:modified xsi:type="dcterms:W3CDTF">2026-06-18T09:26:21.567Z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