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80"/>
        <w:gridCol w:w="1470"/>
        <w:gridCol w:w="2025"/>
        <w:tblGridChange w:id="0">
          <w:tblGrid>
            <w:gridCol w:w="450"/>
            <w:gridCol w:w="225"/>
            <w:gridCol w:w="2250"/>
            <w:gridCol w:w="1455"/>
            <w:gridCol w:w="1530"/>
            <w:gridCol w:w="1380"/>
            <w:gridCol w:w="1470"/>
            <w:gridCol w:w="202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after="240"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color w:val="4a4f5a"/>
                <w:sz w:val="20"/>
                <w:szCs w:val="20"/>
                <w:highlight w:val="magenta"/>
                <w:rtl w:val="0"/>
              </w:rPr>
              <w:t xml:space="preserve"> </w:t>
            </w:r>
            <w:hyperlink r:id="rId6">
              <w:r w:rsidDel="00000000" w:rsidR="00000000" w:rsidRPr="00000000">
                <w:rPr>
                  <w:rFonts w:ascii="Calibri" w:cs="Calibri" w:eastAsia="Calibri" w:hAnsi="Calibri"/>
                  <w:sz w:val="20"/>
                  <w:szCs w:val="20"/>
                  <w:highlight w:val="magenta"/>
                  <w:u w:val="single"/>
                  <w:rtl w:val="0"/>
                </w:rPr>
                <w:t xml:space="preserve">7.9B</w:t>
              </w:r>
            </w:hyperlink>
            <w:r w:rsidDel="00000000" w:rsidR="00000000" w:rsidRPr="00000000">
              <w:rPr>
                <w:rFonts w:ascii="Calibri" w:cs="Calibri" w:eastAsia="Calibri" w:hAnsi="Calibri"/>
                <w:color w:val="4a4f5a"/>
                <w:sz w:val="20"/>
                <w:szCs w:val="20"/>
                <w:highlight w:val="magenta"/>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after="240" w:line="240" w:lineRule="auto"/>
              <w:ind w:left="720" w:hanging="360"/>
              <w:rPr>
                <w:rFonts w:ascii="Calibri" w:cs="Calibri" w:eastAsia="Calibri" w:hAnsi="Calibri"/>
                <w:sz w:val="20"/>
                <w:szCs w:val="20"/>
                <w:highlight w:val="magenta"/>
              </w:rPr>
            </w:pPr>
            <w:r w:rsidDel="00000000" w:rsidR="00000000" w:rsidRPr="00000000">
              <w:rPr>
                <w:rFonts w:ascii="Calibri" w:cs="Calibri" w:eastAsia="Calibri" w:hAnsi="Calibri"/>
                <w:color w:val="4a4f5a"/>
                <w:sz w:val="20"/>
                <w:szCs w:val="20"/>
                <w:highlight w:val="magenta"/>
                <w:rtl w:val="0"/>
              </w:rPr>
              <w:t xml:space="preserve"> </w:t>
            </w:r>
            <w:hyperlink r:id="rId7">
              <w:r w:rsidDel="00000000" w:rsidR="00000000" w:rsidRPr="00000000">
                <w:rPr>
                  <w:rFonts w:ascii="Calibri" w:cs="Calibri" w:eastAsia="Calibri" w:hAnsi="Calibri"/>
                  <w:sz w:val="20"/>
                  <w:szCs w:val="20"/>
                  <w:highlight w:val="magenta"/>
                  <w:u w:val="single"/>
                  <w:rtl w:val="0"/>
                </w:rPr>
                <w:t xml:space="preserve">7.9C</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after="240"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w:t>
            </w:r>
            <w:r w:rsidDel="00000000" w:rsidR="00000000" w:rsidRPr="00000000">
              <w:rPr>
                <w:rFonts w:ascii="Calibri" w:cs="Calibri" w:eastAsia="Calibri" w:hAnsi="Calibri"/>
                <w:color w:val="4a4f5a"/>
                <w:sz w:val="20"/>
                <w:szCs w:val="20"/>
                <w:highlight w:val="magenta"/>
                <w:rtl w:val="0"/>
              </w:rPr>
              <w:t xml:space="preserve"> </w:t>
            </w:r>
            <w:hyperlink r:id="rId8">
              <w:r w:rsidDel="00000000" w:rsidR="00000000" w:rsidRPr="00000000">
                <w:rPr>
                  <w:rFonts w:ascii="Calibri" w:cs="Calibri" w:eastAsia="Calibri" w:hAnsi="Calibri"/>
                  <w:sz w:val="20"/>
                  <w:szCs w:val="20"/>
                  <w:highlight w:val="magenta"/>
                  <w:u w:val="single"/>
                  <w:rtl w:val="0"/>
                </w:rPr>
                <w:t xml:space="preserve">7.9D</w:t>
              </w:r>
            </w:hyperlink>
            <w:r w:rsidDel="00000000" w:rsidR="00000000" w:rsidRPr="00000000">
              <w:rPr>
                <w:rFonts w:ascii="Calibri" w:cs="Calibri" w:eastAsia="Calibri" w:hAnsi="Calibri"/>
                <w:color w:val="4a4f5a"/>
                <w:sz w:val="20"/>
                <w:szCs w:val="20"/>
                <w:highlight w:val="magenta"/>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after="240" w:line="240" w:lineRule="auto"/>
              <w:ind w:left="720" w:hanging="360"/>
              <w:rPr>
                <w:rFonts w:ascii="Calibri" w:cs="Calibri" w:eastAsia="Calibri" w:hAnsi="Calibri"/>
                <w:sz w:val="20"/>
                <w:szCs w:val="20"/>
                <w:highlight w:val="magenta"/>
              </w:rPr>
            </w:pPr>
            <w:hyperlink r:id="rId9">
              <w:r w:rsidDel="00000000" w:rsidR="00000000" w:rsidRPr="00000000">
                <w:rPr>
                  <w:rFonts w:ascii="Calibri" w:cs="Calibri" w:eastAsia="Calibri" w:hAnsi="Calibri"/>
                  <w:sz w:val="20"/>
                  <w:szCs w:val="20"/>
                  <w:highlight w:val="magenta"/>
                  <w:u w:val="single"/>
                  <w:rtl w:val="0"/>
                </w:rPr>
                <w:t xml:space="preserve">7.9E</w:t>
              </w:r>
            </w:hyperlink>
            <w:r w:rsidDel="00000000" w:rsidR="00000000" w:rsidRPr="00000000">
              <w:rPr>
                <w:rFonts w:ascii="Calibri" w:cs="Calibri" w:eastAsia="Calibri" w:hAnsi="Calibri"/>
                <w:color w:val="4a4f5a"/>
                <w:sz w:val="20"/>
                <w:szCs w:val="20"/>
                <w:highlight w:val="magenta"/>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after="240" w:line="240" w:lineRule="auto"/>
              <w:ind w:left="720" w:hanging="360"/>
              <w:rPr>
                <w:rFonts w:ascii="Calibri" w:cs="Calibri" w:eastAsia="Calibri" w:hAnsi="Calibri"/>
                <w:sz w:val="20"/>
                <w:szCs w:val="20"/>
                <w:highlight w:val="magenta"/>
              </w:rPr>
            </w:pPr>
            <w:hyperlink r:id="rId10">
              <w:r w:rsidDel="00000000" w:rsidR="00000000" w:rsidRPr="00000000">
                <w:rPr>
                  <w:rFonts w:ascii="Calibri" w:cs="Calibri" w:eastAsia="Calibri" w:hAnsi="Calibri"/>
                  <w:sz w:val="20"/>
                  <w:szCs w:val="20"/>
                  <w:highlight w:val="magenta"/>
                  <w:u w:val="single"/>
                  <w:rtl w:val="0"/>
                </w:rPr>
                <w:t xml:space="preserve">7.9F</w:t>
              </w:r>
            </w:hyperlink>
            <w:r w:rsidDel="00000000" w:rsidR="00000000" w:rsidRPr="00000000">
              <w:rPr>
                <w:rFonts w:ascii="Calibri" w:cs="Calibri" w:eastAsia="Calibri" w:hAnsi="Calibri"/>
                <w:color w:val="4a4f5a"/>
                <w:sz w:val="20"/>
                <w:szCs w:val="20"/>
                <w:highlight w:val="magenta"/>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after="240" w:line="240" w:lineRule="auto"/>
              <w:ind w:left="720" w:hanging="360"/>
              <w:rPr>
                <w:rFonts w:ascii="Calibri" w:cs="Calibri" w:eastAsia="Calibri" w:hAnsi="Calibri"/>
                <w:sz w:val="20"/>
                <w:szCs w:val="20"/>
                <w:highlight w:val="magenta"/>
              </w:rPr>
            </w:pPr>
            <w:hyperlink r:id="rId11">
              <w:r w:rsidDel="00000000" w:rsidR="00000000" w:rsidRPr="00000000">
                <w:rPr>
                  <w:rFonts w:ascii="Calibri" w:cs="Calibri" w:eastAsia="Calibri" w:hAnsi="Calibri"/>
                  <w:sz w:val="20"/>
                  <w:szCs w:val="20"/>
                  <w:highlight w:val="magenta"/>
                  <w:u w:val="single"/>
                  <w:rtl w:val="0"/>
                </w:rPr>
                <w:t xml:space="preserve">7.10A</w:t>
              </w:r>
            </w:hyperlink>
            <w:r w:rsidDel="00000000" w:rsidR="00000000" w:rsidRPr="00000000">
              <w:rPr>
                <w:rFonts w:ascii="Calibri" w:cs="Calibri" w:eastAsia="Calibri" w:hAnsi="Calibri"/>
                <w:color w:val="4a4f5a"/>
                <w:sz w:val="20"/>
                <w:szCs w:val="20"/>
                <w:highlight w:val="magenta"/>
                <w:rtl w:val="0"/>
              </w:rPr>
              <w:t xml:space="preserve">,</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use of text structure contributes to the author's purpose.</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series of informational posters.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the author's use of print and graphic features to achieve specific purposes.</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series of informational posters.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author's use of figurative language such as extended metaphor achieves specific purposes.</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series of informational posters.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highlight w:val="white"/>
                <w:rtl w:val="0"/>
              </w:rPr>
              <w:t xml:space="preserve">identify the use of literary devices, including subjective and objective point of view.</w:t>
            </w: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Students will use this information to  create a series of informational posters. </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nalyze how the author's use of language contributes to the mood, voice, and tone.</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series of informational posters.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Plan a first draft by selecting a genre appropriate for a particular topic, purpose, and audience using a range of strategies such as discussion, background reading, and personal interests.</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organize and plan their short story.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connection between text structure and the author’s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use graphics to achieve specific purposes?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use figurative language?</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different types of figurative language?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literary device?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use of language contribute to the mood, voice, and tone of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prepare to write stories?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are some non-traditional ways of developing educational competence?</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connect with someone?</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0">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How can you use your educational skills outside of the classroom?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thriftiness?</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easy ways you can develop workplace ethics?</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 How can you use your spirituality to build self 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assertive when developing healthy habits?. </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simple chants you can incorporate into your life?</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 How can you improve your time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balance?</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situations in which you might need to overcome your cultural boundaries in order to grow as a person?</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Do:How can you develop your aspirations so that you can achieve them?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take pride in your work?</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small acts of self care you can undertake to prevent yourself from getting overwhelmed on bad days?</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 What are some simple acts of self care you can do during the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find fulfillment at work as a tool for innovation?</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your finances to help persuade people to use their money for good?</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Do: How do you develop a strong work ethic?</w:t>
            </w: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Structural Features Can I Analyse in a Text?</w:t>
            </w:r>
          </w:p>
          <w:p w:rsidR="00000000" w:rsidDel="00000000" w:rsidP="00000000" w:rsidRDefault="00000000" w:rsidRPr="00000000" w14:paraId="00000085">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https://www.youtube.com/watch?v=iPe2x341JJE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text features to locate information | Reading | Khan Academy </w:t>
            </w:r>
          </w:p>
          <w:p w:rsidR="00000000" w:rsidDel="00000000" w:rsidP="00000000" w:rsidRDefault="00000000" w:rsidRPr="00000000" w14:paraId="00000092">
            <w:pPr>
              <w:spacing w:line="240" w:lineRule="auto"/>
              <w:rPr>
                <w:rFonts w:ascii="Calibri" w:cs="Calibri" w:eastAsia="Calibri" w:hAnsi="Calibri"/>
                <w:b w:val="1"/>
                <w:bCs w:val="1"/>
                <w:sz w:val="20"/>
                <w:szCs w:val="20"/>
              </w:rPr>
            </w:pPr>
            <w:hyperlink r:id="rId13">
              <w:r w:rsidDel="00000000" w:rsidR="00000000" w:rsidRPr="00000000">
                <w:rPr>
                  <w:rFonts w:ascii="Calibri" w:cs="Calibri" w:eastAsia="Calibri" w:hAnsi="Calibri"/>
                  <w:b w:val="1"/>
                  <w:bCs w:val="1"/>
                  <w:color w:val="1155cc"/>
                  <w:sz w:val="20"/>
                  <w:szCs w:val="20"/>
                  <w:u w:val="single"/>
                  <w:rtl w:val="0"/>
                </w:rPr>
                <w:t xml:space="preserve">https://www.youtube.com/watch?v=v6EDEr_20sc</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Figurative language | Reading | Khan Academy</w:t>
            </w:r>
          </w:p>
          <w:p w:rsidR="00000000" w:rsidDel="00000000" w:rsidP="00000000" w:rsidRDefault="00000000" w:rsidRPr="00000000" w14:paraId="0000009E">
            <w:pPr>
              <w:spacing w:line="240" w:lineRule="auto"/>
              <w:rPr>
                <w:rFonts w:ascii="Calibri" w:cs="Calibri" w:eastAsia="Calibri" w:hAnsi="Calibri"/>
                <w:b w:val="1"/>
                <w:bCs w:val="1"/>
                <w:sz w:val="20"/>
                <w:szCs w:val="20"/>
              </w:rPr>
            </w:pPr>
            <w:hyperlink r:id="rId14">
              <w:r w:rsidDel="00000000" w:rsidR="00000000" w:rsidRPr="00000000">
                <w:rPr>
                  <w:rFonts w:ascii="Calibri" w:cs="Calibri" w:eastAsia="Calibri" w:hAnsi="Calibri"/>
                  <w:b w:val="1"/>
                  <w:bCs w:val="1"/>
                  <w:color w:val="1155cc"/>
                  <w:sz w:val="20"/>
                  <w:szCs w:val="20"/>
                  <w:u w:val="single"/>
                  <w:rtl w:val="0"/>
                </w:rPr>
                <w:t xml:space="preserve">https://www.youtube.com/watch?v=lzKj-bLvrYQ</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Changes in POV and dramatic irony | Reading | Khan Academy</w:t>
            </w:r>
          </w:p>
          <w:p w:rsidR="00000000" w:rsidDel="00000000" w:rsidP="00000000" w:rsidRDefault="00000000" w:rsidRPr="00000000" w14:paraId="000000AA">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https://www.youtube.com/watch?v=lRoFaux2V_g&amp;ab_channel=KhanAcademy</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Analyzing tone through word choice | Reading | Khan Academy</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7">
            <w:pPr>
              <w:spacing w:line="240" w:lineRule="auto"/>
              <w:rPr>
                <w:rFonts w:ascii="Calibri" w:cs="Calibri" w:eastAsia="Calibri" w:hAnsi="Calibri"/>
                <w:b w:val="1"/>
                <w:bCs w:val="1"/>
                <w:sz w:val="20"/>
                <w:szCs w:val="20"/>
              </w:rPr>
            </w:pPr>
            <w:hyperlink r:id="rId16">
              <w:r w:rsidDel="00000000" w:rsidR="00000000" w:rsidRPr="00000000">
                <w:rPr>
                  <w:rFonts w:ascii="Calibri" w:cs="Calibri" w:eastAsia="Calibri" w:hAnsi="Calibri"/>
                  <w:b w:val="1"/>
                  <w:bCs w:val="1"/>
                  <w:color w:val="1155cc"/>
                  <w:sz w:val="20"/>
                  <w:szCs w:val="20"/>
                  <w:u w:val="single"/>
                  <w:rtl w:val="0"/>
                </w:rPr>
                <w:t xml:space="preserve">https://www.youtube.com/watch?v=l3yWmXbC36s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Pixlr.com</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analyze structural features of a text.</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pixlr.com, students will create a poster that instructs viewers how to analyze structural features of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using text features to locate information</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GP:Using pixlr.com, students will create a poster that instructs viewers how to analyze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figurative language.</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pixlr.com, students will create a poster that instructs viewers how to analyze figurative language.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multiple points of view and irony.</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pixlr.com, students will create a poster that instructs viewers how to identify and analyze multiple points of view and irony.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word choice and tone.</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pixlr.com, students will create a poster that instructs viewers how to analyze word choice and tone.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type of stories they like to read. Then ask students to imagine what types of stories they would write if they were an author.</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steps they think authors go through while planning a story. Inform students that they are to </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analyze structural features of a text.</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pixlr.com, students will create a poster that instructs viewers how to analyze structural features of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using text features to locate information</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GP:Using pixlr.com, students will create a poster that instructs viewers how to analyze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figurative language.</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pixlr.com, students will create a poster that instructs viewers how to analyze figurative language.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multiple points of view and irony.</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pixlr.com, students will create a poster that instructs viewers how to identify and analyze multiple points of view and irony.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word choice and tone.</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pixlr.com, students will create a poster that instructs viewers how to analyze word choice and tone.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type of stories they like to read. Then ask students to imagine what types of stories they would write if they were an author. Inform students that they are to write their own short story that is 5-7 pages long.</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writing their short story.</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students dislike taking tests and quizzes or partaking in  any type of assessment. This is perfectly understandable. Many students don't realize that teachers use these assessments as a way of measuring your educational competence. If you feel that traditional assessments, such as tests or quizzes, cannot allow you to properly demonstrate your competence, what are some non traditional ways that you can demonstrate your educational competence?</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skills did not come easy for everybody. Some people are inherently social and some people need to put in lots of effort into developing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While in school, many of the things you learn are skills that you utilize throughout your entire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learning how to build an argument might help you to be more persuasive in arguments and discussions with others. How can you use your educational skills outside of the classroom?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learn a variety of financial skills. One of the most important skills you will learn is how to be thrifty. What is thriftiness?</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Workplace ethics or not chart and every career field some of them are in special classes. However, many people  utilize their own ethics when working in their chosen vacation. Knowing that workplace ethics are not always taught, what are some easy ways you can develop workplace ethics?</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Self-confidence is not easy for everybody to come by  and everybody goes through periods where they lack self-confidence. People develop their self confidence through a wide variety of methods including  your spirituality. How can you use your spirituality to build self 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your health and maintaining healthy habits  takes time to develop. More importantly than coming up with habits, is being assertive enough to follow through on them. What do you think it means to be assertive when developing healthy habits?. </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Prayers and chants  are utilized by pretty much every faith on Earth. If you are not religious, that doesn't mean that you can't use chants to improve your life. A chant can be as simple as “so it goes” or can be as complex as a prayer. What are some simple chants you can incorporate into your life?</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Some people say that time equals money. When many people think of financial skills they might think of budgeting or how to turn their money into more money. Many people tend to overlook the role that time management plays in making money.  If you think if you are in a job where time management determines how much money you make, time management becomes that much more important of a skill. How can you improve your time management?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monitor your health and rely on healthy habits, it is important to do so with balance, as overdoing some healthy habits can actually backfire and can end up harming you. What does it mean to live to have a healthy balance?</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cultural boundaries of others are important to respect, sometimes you need to overcome your own cultural boundaries in order to grow as a person. What are some situations in which you might need to overcome your cultural boundaries in order to grow as a person?</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aspirations, some people aspire to be president of the United States, while others may simply aspire to be a good person and to live a good life. Whatever your aspirations might be, they all need to be developed. After all, your aspirations may change from the time you're 8 to the time you're 18. After developing your aspirations might provide Insight on how they can be achieved. think about what your aspirations are, how can you develop your aspirations so that you can achieve them?</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bad days. Sometimes when people have bad days, lots of things pile up and people quickly feel ground down. When you have a bad day, partake in small acts of self care to help you get through the day. (These acts can be as simple as talking to a friend or meditating)( What are some small acts of self care you can develop?</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When some people think of self care, they might think big gestures-they might think of going to the spa or going on vacation. However in our day-to-day lives there's not always time to engage in Acts of self-care. Consequently we have to develop ways to carry out simple acts of self care. What are some simple acts of self care you can do during the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everyone finds fulfillment at work. Some people, however, are motivated by their lack of fulfillment to aspire for bigger and better things.Some people might try to find fulfillment at work by aspiring to create the next economy or industry  changing business like  Facebook or Uber. Many of the people who have aspired to create these industries started out with a simple lack of fulfillment with their jobs and used that lack of fulfillment as a motivational tool. How can you find fulfillment at work as a tool for innovation?</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money can be used for all sorts of things you can pay for goods and services, getting help keeps a roof over your head and it can be used to help others. One of the ways that finances can be used to help others is true the funding of charities and non-profits. While you might be motivated to donate to charities and nonprofits, it is often difficult to persuade others to use their money for good by donating to nonprofits or charities. How can you use your finances to help persuade people to use their money for good?</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A">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While you are in school,  you will learn a wide variety of tools and skills to help you with your career. However, one of the most important skills you will use while you're at work, cannot be taught and must be developed entirely by you- a good work ethic. Having a strong work ethic is one of the most important skills you will use in your career. Having a strong work ethic is important as it can help you get a promotion at work and how do you develop a strong work ethic?</w:t>
            </w:r>
            <w:r w:rsidDel="00000000" w:rsidR="00000000" w:rsidRPr="00000000">
              <w:rPr>
                <w:rtl w:val="0"/>
              </w:rPr>
            </w:r>
          </w:p>
        </w:tc>
      </w:tr>
    </w:tbl>
    <w:p w:rsidR="00000000" w:rsidDel="00000000" w:rsidP="00000000" w:rsidRDefault="00000000" w:rsidRPr="00000000" w14:paraId="0000015B">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076" TargetMode="External"/><Relationship Id="rId10" Type="http://schemas.openxmlformats.org/officeDocument/2006/relationships/hyperlink" Target="https://teksresourcesystem.net/module/standards/Tools/Browse?StandardId=221072" TargetMode="External"/><Relationship Id="rId13" Type="http://schemas.openxmlformats.org/officeDocument/2006/relationships/hyperlink" Target="https://www.youtube.com/watch?v=v6EDEr_20sc" TargetMode="External"/><Relationship Id="rId12" Type="http://schemas.openxmlformats.org/officeDocument/2006/relationships/hyperlink" Target="https://www.youtube.com/watch?v=iPe2x341JJ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071" TargetMode="External"/><Relationship Id="rId15" Type="http://schemas.openxmlformats.org/officeDocument/2006/relationships/hyperlink" Target="https://www.youtube.com/watch?v=lRoFaux2V_g&amp;ab_channel=KhanAcademy" TargetMode="External"/><Relationship Id="rId14" Type="http://schemas.openxmlformats.org/officeDocument/2006/relationships/hyperlink" Target="https://www.youtube.com/watch?v=lzKj-bLvrYQ" TargetMode="External"/><Relationship Id="rId16" Type="http://schemas.openxmlformats.org/officeDocument/2006/relationships/hyperlink" Target="https://www.youtube.com/watch?v=l3yWmXbC36s"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068" TargetMode="External"/><Relationship Id="rId7" Type="http://schemas.openxmlformats.org/officeDocument/2006/relationships/hyperlink" Target="https://teksresourcesystem.net/module/standards/Tools/Browse?StandardId=221069" TargetMode="External"/><Relationship Id="rId8" Type="http://schemas.openxmlformats.org/officeDocument/2006/relationships/hyperlink" Target="https://teksresourcesystem.net/module/standards/Tools/Browse?StandardId=2210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