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40"/>
        <w:gridCol w:w="1440"/>
        <w:gridCol w:w="1830"/>
        <w:tblGridChange w:id="0">
          <w:tblGrid>
            <w:gridCol w:w="1440"/>
            <w:gridCol w:w="735"/>
            <w:gridCol w:w="2145"/>
            <w:gridCol w:w="144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Thinking Like a Historian</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TEKS: 7.20E</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rtl w:val="0"/>
              </w:rPr>
              <w:t xml:space="preserve"> By the end of the lesson students will be able to describe how primary and secondary sources can be used to support a point of view. </w:t>
            </w:r>
          </w:p>
          <w:p w:rsidR="00000000" w:rsidDel="00000000" w:rsidP="00000000" w:rsidRDefault="00000000" w:rsidRPr="00000000" w14:paraId="000000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Students will use this information to write a persuasive essay exploring the four most important Documents in Texas history.</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How can primary sources be used to support a point of view?</w:t>
            </w:r>
          </w:p>
          <w:p w:rsidR="00000000" w:rsidDel="00000000" w:rsidP="00000000" w:rsidRDefault="00000000" w:rsidRPr="00000000" w14:paraId="000000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5">
            <w:pPr>
              <w:pageBreakBefore w:val="0"/>
              <w:spacing w:after="0" w:line="240" w:lineRule="auto"/>
              <w:rPr>
                <w:sz w:val="20"/>
                <w:szCs w:val="20"/>
              </w:rPr>
            </w:pPr>
            <w:r w:rsidDel="00000000" w:rsidR="00000000" w:rsidRPr="00000000">
              <w:rPr>
                <w:sz w:val="20"/>
                <w:szCs w:val="20"/>
                <w:rtl w:val="0"/>
              </w:rPr>
              <w:t xml:space="preserve">How can secondary sources be used to support a point of view?</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Be: What is an identity?</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Know: What are some healthy  coping strategies you can adopt during periods of stress?</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Do: How can you use time management apps to increase your money?</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8">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B">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E">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1">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AS: Students will write down what they think are the four most important documents in Texas’s history. (The documents can be from any era in Texas’s history). Students will upload their answers to the LMS.</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GP:Students will write an essay explaining what they think are the four most important documents in  Texas history. They can originate inside of Texas or outside of Texas. Before writing their essay, students will look up primary and secondary sources to help them write their essays.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AS: Students will write down what they think are the four most important documents in Texas’s history. (The documents can be from any era in Texas’s history). </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GP:Students will write an essay explaining what they think are the four most important documents in  Texas history. They can originate inside of Texas or outside of Texas. Before writing their essay, students will look up primary and secondary sources to help them write their essays.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Students will complete their essays.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4">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95">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96">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7">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We have so many different influencers on our lives-spirituality, heritage, social circle, etc. How do you think these factors combine to make an identity?  What components make up your identity?</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Everyone copes with stress differently. SOme people use healthy techniques like trying to work through the problem or by exercising and being active. Other people use unhealthy coping strategies such as using substances or bottling it up. What are some healthy coping strategies you can use during times of stress?</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sz w:val="20"/>
                <w:szCs w:val="20"/>
                <w:rtl w:val="0"/>
              </w:rPr>
              <w:t xml:space="preserve">There are all sorts of financial apps out there- some will help you create a budget. Others might help you track your spending habits. These are good for helping you keep track of money you already have. The question is how can you use time management apps to help you make money? What do you think is the connection between time management and making money?</w:t>
            </w:r>
          </w:p>
        </w:tc>
      </w:tr>
    </w:tbl>
    <w:p w:rsidR="00000000" w:rsidDel="00000000" w:rsidP="00000000" w:rsidRDefault="00000000" w:rsidRPr="00000000" w14:paraId="000000AB">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shaonline.org/handbook" TargetMode="External"/><Relationship Id="rId5" Type="http://schemas.openxmlformats.org/officeDocument/2006/relationships/styles" Target="styles.xml"/><Relationship Id="rId6" Type="http://schemas.openxmlformats.org/officeDocument/2006/relationships/hyperlink" Target="https://texasalmanac.com/" TargetMode="External"/><Relationship Id="rId7" Type="http://schemas.openxmlformats.org/officeDocument/2006/relationships/hyperlink" Target="https://texashistory.unt.edu/" TargetMode="External"/><Relationship Id="rId8" Type="http://schemas.openxmlformats.org/officeDocument/2006/relationships/hyperlink" Target="https://digital.sfasu.edu/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