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highlight w:val="yellow"/>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365"/>
        <w:gridCol w:w="1515"/>
        <w:gridCol w:w="1440"/>
        <w:gridCol w:w="1440"/>
        <w:gridCol w:w="1410"/>
        <w:gridCol w:w="1470"/>
        <w:tblGridChange w:id="0">
          <w:tblGrid>
            <w:gridCol w:w="1440"/>
            <w:gridCol w:w="1440"/>
            <w:gridCol w:w="1365"/>
            <w:gridCol w:w="1515"/>
            <w:gridCol w:w="1440"/>
            <w:gridCol w:w="1440"/>
            <w:gridCol w:w="1410"/>
            <w:gridCol w:w="14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highlight w:val="yellow"/>
              </w:rPr>
            </w:pPr>
            <w:r w:rsidDel="00000000" w:rsidR="00000000" w:rsidRPr="00000000">
              <w:rPr>
                <w:b w:val="1"/>
                <w:bCs w:val="1"/>
                <w:sz w:val="20"/>
                <w:szCs w:val="20"/>
                <w:highlight w:val="yellow"/>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Unit: </w:t>
            </w:r>
          </w:p>
          <w:p w:rsidR="00000000" w:rsidDel="00000000" w:rsidP="00000000" w:rsidRDefault="00000000" w:rsidRPr="00000000" w14:paraId="00000015">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highlight w:val="yellow"/>
              </w:rPr>
            </w:pPr>
            <w:r w:rsidDel="00000000" w:rsidR="00000000" w:rsidRPr="00000000">
              <w:rPr>
                <w:b w:val="1"/>
                <w:bCs w:val="1"/>
                <w:sz w:val="20"/>
                <w:szCs w:val="20"/>
                <w:highlight w:val="yellow"/>
                <w:rtl w:val="0"/>
              </w:rPr>
              <w:t xml:space="preserve">TEKS: 7.18B</w:t>
            </w:r>
          </w:p>
          <w:p w:rsidR="00000000" w:rsidDel="00000000" w:rsidP="00000000" w:rsidRDefault="00000000" w:rsidRPr="00000000" w14:paraId="00000019">
            <w:pPr>
              <w:pageBreakBefore w:val="0"/>
              <w:spacing w:after="0" w:before="0" w:line="240" w:lineRule="auto"/>
              <w:ind w:left="0" w:firstLine="0"/>
              <w:rPr>
                <w:b w:val="1"/>
                <w:bCs w:val="1"/>
                <w:sz w:val="20"/>
                <w:szCs w:val="20"/>
                <w:highlight w:val="yellow"/>
              </w:rPr>
            </w:pPr>
            <w:r w:rsidDel="00000000" w:rsidR="00000000" w:rsidRPr="00000000">
              <w:rPr>
                <w:rtl w:val="0"/>
              </w:rPr>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highlight w:val="yellow"/>
              </w:rPr>
            </w:pPr>
            <w:r w:rsidDel="00000000" w:rsidR="00000000" w:rsidRPr="00000000">
              <w:rPr>
                <w:b w:val="1"/>
                <w:bCs w:val="1"/>
                <w:sz w:val="20"/>
                <w:szCs w:val="20"/>
                <w:highlight w:val="yellow"/>
                <w:rtl w:val="0"/>
              </w:rPr>
              <w:t xml:space="preserve">Lesson objectives:</w:t>
            </w:r>
            <w:r w:rsidDel="00000000" w:rsidR="00000000" w:rsidRPr="00000000">
              <w:rPr>
                <w:sz w:val="20"/>
                <w:szCs w:val="20"/>
                <w:highlight w:val="yellow"/>
                <w:rtl w:val="0"/>
              </w:rPr>
              <w:t xml:space="preserve"> </w:t>
            </w:r>
          </w:p>
          <w:p w:rsidR="00000000" w:rsidDel="00000000" w:rsidP="00000000" w:rsidRDefault="00000000" w:rsidRPr="00000000" w14:paraId="0000001F">
            <w:pPr>
              <w:pageBreakBefore w:val="0"/>
              <w:spacing w:after="0" w:line="240" w:lineRule="auto"/>
              <w:rPr>
                <w:sz w:val="20"/>
                <w:szCs w:val="20"/>
                <w:highlight w:val="yellow"/>
              </w:rPr>
            </w:pPr>
            <w:r w:rsidDel="00000000" w:rsidR="00000000" w:rsidRPr="00000000">
              <w:rPr>
                <w:sz w:val="20"/>
                <w:szCs w:val="20"/>
                <w:highlight w:val="yellow"/>
                <w:rtl w:val="0"/>
              </w:rPr>
              <w:t xml:space="preserve">  </w:t>
            </w:r>
          </w:p>
          <w:p w:rsidR="00000000" w:rsidDel="00000000" w:rsidP="00000000" w:rsidRDefault="00000000" w:rsidRPr="00000000" w14:paraId="00000020">
            <w:pPr>
              <w:pageBreakBefore w:val="0"/>
              <w:shd w:fill="ffffff" w:val="clear"/>
              <w:spacing w:line="240" w:lineRule="auto"/>
              <w:rPr>
                <w:sz w:val="20"/>
                <w:szCs w:val="20"/>
                <w:highlight w:val="yellow"/>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pacing w:after="0" w:line="240" w:lineRule="auto"/>
              <w:rPr>
                <w:sz w:val="20"/>
                <w:szCs w:val="20"/>
                <w:highlight w:val="yellow"/>
              </w:rPr>
            </w:pPr>
            <w:r w:rsidDel="00000000" w:rsidR="00000000" w:rsidRPr="00000000">
              <w:rPr>
                <w:rtl w:val="0"/>
              </w:rPr>
            </w:r>
          </w:p>
          <w:p w:rsidR="00000000" w:rsidDel="00000000" w:rsidP="00000000" w:rsidRDefault="00000000" w:rsidRPr="00000000" w14:paraId="00000023">
            <w:pPr>
              <w:pageBreakBefore w:val="0"/>
              <w:spacing w:after="0" w:line="240" w:lineRule="auto"/>
              <w:rPr>
                <w:sz w:val="20"/>
                <w:szCs w:val="20"/>
              </w:rPr>
            </w:pPr>
            <w:r w:rsidDel="00000000" w:rsidR="00000000" w:rsidRPr="00000000">
              <w:rPr>
                <w:sz w:val="20"/>
                <w:szCs w:val="20"/>
                <w:rtl w:val="0"/>
              </w:rPr>
              <w:t xml:space="preserve">By the end of the lesson, students will be able to describe how people of different cultures incorporate their cultural heritage into their lives in Texas.</w:t>
            </w:r>
          </w:p>
          <w:p w:rsidR="00000000" w:rsidDel="00000000" w:rsidP="00000000" w:rsidRDefault="00000000" w:rsidRPr="00000000" w14:paraId="0000002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5">
            <w:pPr>
              <w:pageBreakBefore w:val="0"/>
              <w:spacing w:after="0" w:line="240" w:lineRule="auto"/>
              <w:rPr>
                <w:sz w:val="20"/>
                <w:szCs w:val="20"/>
              </w:rPr>
            </w:pPr>
            <w:r w:rsidDel="00000000" w:rsidR="00000000" w:rsidRPr="00000000">
              <w:rPr>
                <w:sz w:val="20"/>
                <w:szCs w:val="20"/>
                <w:rtl w:val="0"/>
              </w:rPr>
              <w:t xml:space="preserve">Students will use this information to create a pecha kucha presentation.</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B">
            <w:pPr>
              <w:pageBreakBefore w:val="0"/>
              <w:spacing w:after="0" w:line="240" w:lineRule="auto"/>
              <w:rPr>
                <w:sz w:val="20"/>
                <w:szCs w:val="20"/>
                <w:highlight w:val="yellow"/>
              </w:rPr>
            </w:pPr>
            <w:r w:rsidDel="00000000" w:rsidR="00000000" w:rsidRPr="00000000">
              <w:rPr>
                <w:b w:val="1"/>
                <w:bCs w:val="1"/>
                <w:sz w:val="20"/>
                <w:szCs w:val="20"/>
                <w:highlight w:val="yellow"/>
                <w:rtl w:val="0"/>
              </w:rPr>
              <w:t xml:space="preserve">Essential Questions:</w:t>
            </w:r>
            <w:r w:rsidDel="00000000" w:rsidR="00000000" w:rsidRPr="00000000">
              <w:rPr>
                <w:sz w:val="20"/>
                <w:szCs w:val="20"/>
                <w:highlight w:val="yellow"/>
                <w:rtl w:val="0"/>
              </w:rPr>
              <w:t xml:space="preserve"> </w:t>
            </w:r>
          </w:p>
          <w:p w:rsidR="00000000" w:rsidDel="00000000" w:rsidP="00000000" w:rsidRDefault="00000000" w:rsidRPr="00000000" w14:paraId="0000002C">
            <w:pPr>
              <w:pageBreakBefore w:val="0"/>
              <w:spacing w:after="0" w:line="240" w:lineRule="auto"/>
              <w:rPr>
                <w:sz w:val="20"/>
                <w:szCs w:val="20"/>
                <w:highlight w:val="yellow"/>
              </w:rPr>
            </w:pPr>
            <w:r w:rsidDel="00000000" w:rsidR="00000000" w:rsidRPr="00000000">
              <w:rPr>
                <w:rtl w:val="0"/>
              </w:rPr>
            </w:r>
          </w:p>
          <w:p w:rsidR="00000000" w:rsidDel="00000000" w:rsidP="00000000" w:rsidRDefault="00000000" w:rsidRPr="00000000" w14:paraId="0000002D">
            <w:pPr>
              <w:pageBreakBefore w:val="0"/>
              <w:spacing w:after="0" w:line="240" w:lineRule="auto"/>
              <w:rPr>
                <w:sz w:val="20"/>
                <w:szCs w:val="20"/>
                <w:highlight w:val="yellow"/>
              </w:rPr>
            </w:pPr>
            <w:r w:rsidDel="00000000" w:rsidR="00000000" w:rsidRPr="00000000">
              <w:rPr>
                <w:sz w:val="20"/>
                <w:szCs w:val="20"/>
                <w:highlight w:val="yellow"/>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How do people of various backgrounds incorporate their background into living in Texas?</w:t>
            </w:r>
            <w:r w:rsidDel="00000000" w:rsidR="00000000" w:rsidRPr="00000000">
              <w:rPr>
                <w:rtl w:val="0"/>
              </w:rPr>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i w:val="0"/>
                <w:iCs w:val="0"/>
                <w:smallCaps w:val="0"/>
                <w:strike w:val="0"/>
                <w:sz w:val="20"/>
                <w:szCs w:val="20"/>
                <w:highlight w:val="yellow"/>
                <w:vertAlign w:val="baseline"/>
                <w:rtl w:val="0"/>
              </w:rPr>
              <w:t xml:space="preserve">LYS Methodology</w:t>
            </w:r>
          </w:p>
          <w:p w:rsidR="00000000" w:rsidDel="00000000" w:rsidP="00000000" w:rsidRDefault="00000000" w:rsidRPr="00000000" w14:paraId="00000037">
            <w:pPr>
              <w:pageBreakBefore w:val="0"/>
              <w:widowControl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Be (Character/Values/Principles) - </w:t>
            </w:r>
          </w:p>
          <w:p w:rsidR="00000000" w:rsidDel="00000000" w:rsidP="00000000" w:rsidRDefault="00000000" w:rsidRPr="00000000" w14:paraId="00000038">
            <w:pPr>
              <w:pageBreakBefore w:val="0"/>
              <w:widowControl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Know (What resources are available to the student/ How can they use them) - </w:t>
            </w:r>
          </w:p>
          <w:p w:rsidR="00000000" w:rsidDel="00000000" w:rsidP="00000000" w:rsidRDefault="00000000" w:rsidRPr="00000000" w14:paraId="00000039">
            <w:pPr>
              <w:pageBreakBefore w:val="0"/>
              <w:widowControl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Do (Execute with Excellence) - </w:t>
            </w:r>
          </w:p>
          <w:p w:rsidR="00000000" w:rsidDel="00000000" w:rsidP="00000000" w:rsidRDefault="00000000" w:rsidRPr="00000000" w14:paraId="0000003A">
            <w:pPr>
              <w:pageBreakBefore w:val="0"/>
              <w:spacing w:after="0" w:line="240" w:lineRule="auto"/>
              <w:rPr>
                <w:b w:val="1"/>
                <w:bCs w:val="1"/>
                <w:sz w:val="20"/>
                <w:szCs w:val="20"/>
                <w:highlight w:val="yellow"/>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Be: How can you demonstrate your dedication towards something?</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Know:</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sz w:val="20"/>
                <w:szCs w:val="20"/>
                <w:rtl w:val="0"/>
              </w:rPr>
              <w:t xml:space="preserve">What are some ways you can be assertive about your own health?</w:t>
            </w:r>
          </w:p>
          <w:p w:rsidR="00000000" w:rsidDel="00000000" w:rsidP="00000000" w:rsidRDefault="00000000" w:rsidRPr="00000000" w14:paraId="0000004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Do: What are some ways you can integrate your cultural background into your educational skill set</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sz w:val="20"/>
                <w:szCs w:val="20"/>
                <w:highlight w:val="yellow"/>
                <w:rtl w:val="0"/>
              </w:rPr>
              <w:t xml:space="preserve">Resources</w:t>
            </w:r>
            <w:r w:rsidDel="00000000" w:rsidR="00000000" w:rsidRPr="00000000">
              <w:rPr>
                <w:b w:val="1"/>
                <w:bCs w:val="1"/>
                <w:i w:val="0"/>
                <w:iCs w:val="0"/>
                <w:smallCaps w:val="0"/>
                <w:strike w:val="0"/>
                <w:sz w:val="20"/>
                <w:szCs w:val="20"/>
                <w:highlight w:val="yellow"/>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B">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E">
            <w:pPr>
              <w:pageBreakBefore w:val="0"/>
              <w:spacing w:after="0" w:line="240" w:lineRule="auto"/>
              <w:rPr>
                <w:sz w:val="20"/>
                <w:szCs w:val="20"/>
              </w:rPr>
            </w:pPr>
            <w:r w:rsidDel="00000000" w:rsidR="00000000" w:rsidRPr="00000000">
              <w:rPr>
                <w:b w:val="1"/>
                <w:bCs w:val="1"/>
                <w:sz w:val="20"/>
                <w:szCs w:val="20"/>
                <w:rtl w:val="0"/>
              </w:rPr>
              <w:t xml:space="preserve">Activity</w:t>
            </w:r>
            <w:r w:rsidDel="00000000" w:rsidR="00000000" w:rsidRPr="00000000">
              <w:rPr>
                <w:rtl w:val="0"/>
              </w:rPr>
            </w:r>
          </w:p>
          <w:p w:rsidR="00000000" w:rsidDel="00000000" w:rsidP="00000000" w:rsidRDefault="00000000" w:rsidRPr="00000000" w14:paraId="0000004F">
            <w:pPr>
              <w:pageBreakBefore w:val="0"/>
              <w:spacing w:after="0" w:line="240" w:lineRule="auto"/>
              <w:rPr>
                <w:sz w:val="20"/>
                <w:szCs w:val="20"/>
              </w:rPr>
            </w:pPr>
            <w:r w:rsidDel="00000000" w:rsidR="00000000" w:rsidRPr="00000000">
              <w:rPr>
                <w:sz w:val="20"/>
                <w:szCs w:val="20"/>
                <w:rtl w:val="0"/>
              </w:rPr>
              <w:t xml:space="preserve">Texas Almanac</w:t>
            </w:r>
          </w:p>
          <w:p w:rsidR="00000000" w:rsidDel="00000000" w:rsidP="00000000" w:rsidRDefault="00000000" w:rsidRPr="00000000" w14:paraId="00000050">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https://texasalmanac.com/</w:t>
              </w:r>
            </w:hyperlink>
            <w:r w:rsidDel="00000000" w:rsidR="00000000" w:rsidRPr="00000000">
              <w:rPr>
                <w:sz w:val="20"/>
                <w:szCs w:val="20"/>
                <w:rtl w:val="0"/>
              </w:rPr>
              <w:t xml:space="preserve"> </w:t>
            </w:r>
          </w:p>
          <w:p w:rsidR="00000000" w:rsidDel="00000000" w:rsidP="00000000" w:rsidRDefault="00000000" w:rsidRPr="00000000" w14:paraId="0000005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2">
            <w:pPr>
              <w:pageBreakBefore w:val="0"/>
              <w:spacing w:after="0" w:line="240" w:lineRule="auto"/>
              <w:rPr>
                <w:sz w:val="20"/>
                <w:szCs w:val="20"/>
              </w:rPr>
            </w:pPr>
            <w:r w:rsidDel="00000000" w:rsidR="00000000" w:rsidRPr="00000000">
              <w:rPr>
                <w:sz w:val="20"/>
                <w:szCs w:val="20"/>
                <w:rtl w:val="0"/>
              </w:rPr>
              <w:t xml:space="preserve">The Portal to Texas History</w:t>
            </w:r>
          </w:p>
          <w:p w:rsidR="00000000" w:rsidDel="00000000" w:rsidP="00000000" w:rsidRDefault="00000000" w:rsidRPr="00000000" w14:paraId="00000053">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https://texashistory.unt.edu/</w:t>
              </w:r>
            </w:hyperlink>
            <w:r w:rsidDel="00000000" w:rsidR="00000000" w:rsidRPr="00000000">
              <w:rPr>
                <w:rtl w:val="0"/>
              </w:rPr>
            </w:r>
          </w:p>
          <w:p w:rsidR="00000000" w:rsidDel="00000000" w:rsidP="00000000" w:rsidRDefault="00000000" w:rsidRPr="00000000" w14:paraId="0000005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5">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sz w:val="20"/>
                <w:szCs w:val="20"/>
              </w:rPr>
            </w:pPr>
            <w:r w:rsidDel="00000000" w:rsidR="00000000" w:rsidRPr="00000000">
              <w:rPr>
                <w:sz w:val="20"/>
                <w:szCs w:val="20"/>
                <w:rtl w:val="0"/>
              </w:rPr>
              <w:t xml:space="preserve">East Texas Digital Archives</w:t>
            </w:r>
          </w:p>
          <w:p w:rsidR="00000000" w:rsidDel="00000000" w:rsidP="00000000" w:rsidRDefault="00000000" w:rsidRPr="00000000" w14:paraId="00000057">
            <w:pPr>
              <w:pageBreakBefore w:val="0"/>
              <w:spacing w:after="0" w:line="240" w:lineRule="auto"/>
              <w:rPr>
                <w:sz w:val="20"/>
                <w:szCs w:val="20"/>
              </w:rPr>
            </w:pPr>
            <w:hyperlink r:id="rId8">
              <w:r w:rsidDel="00000000" w:rsidR="00000000" w:rsidRPr="00000000">
                <w:rPr>
                  <w:color w:val="1155cc"/>
                  <w:sz w:val="20"/>
                  <w:szCs w:val="20"/>
                  <w:u w:val="single"/>
                  <w:rtl w:val="0"/>
                </w:rPr>
                <w:t xml:space="preserve">https://digital.sfasu.edu/digital/</w:t>
              </w:r>
            </w:hyperlink>
            <w:r w:rsidDel="00000000" w:rsidR="00000000" w:rsidRPr="00000000">
              <w:rPr>
                <w:sz w:val="20"/>
                <w:szCs w:val="20"/>
                <w:rtl w:val="0"/>
              </w:rPr>
              <w:t xml:space="preserve"> </w:t>
            </w:r>
          </w:p>
          <w:p w:rsidR="00000000" w:rsidDel="00000000" w:rsidP="00000000" w:rsidRDefault="00000000" w:rsidRPr="00000000" w14:paraId="00000058">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Texas State Historical  Association-Handbook of Texas </w:t>
            </w:r>
          </w:p>
          <w:p w:rsidR="00000000" w:rsidDel="00000000" w:rsidP="00000000" w:rsidRDefault="00000000" w:rsidRPr="00000000" w14:paraId="0000005A">
            <w:pPr>
              <w:pageBreakBefore w:val="0"/>
              <w:spacing w:after="0" w:line="240" w:lineRule="auto"/>
              <w:rPr>
                <w:sz w:val="20"/>
                <w:szCs w:val="20"/>
                <w:highlight w:val="yellow"/>
              </w:rPr>
            </w:pPr>
            <w:hyperlink r:id="rId9">
              <w:r w:rsidDel="00000000" w:rsidR="00000000" w:rsidRPr="00000000">
                <w:rPr>
                  <w:color w:val="1155cc"/>
                  <w:sz w:val="20"/>
                  <w:szCs w:val="20"/>
                  <w:u w:val="single"/>
                  <w:rtl w:val="0"/>
                </w:rPr>
                <w:t xml:space="preserve">https://www.tshaonline.org/handbook</w:t>
              </w:r>
            </w:hyperlink>
            <w:r w:rsidDel="00000000" w:rsidR="00000000" w:rsidRPr="00000000">
              <w:rPr>
                <w:sz w:val="20"/>
                <w:szCs w:val="20"/>
                <w:rtl w:val="0"/>
              </w:rPr>
              <w:t xml:space="preserve"> </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i w:val="0"/>
                <w:iCs w:val="0"/>
                <w:smallCaps w:val="0"/>
                <w:strike w:val="0"/>
                <w:sz w:val="20"/>
                <w:szCs w:val="20"/>
                <w:highlight w:val="yellow"/>
                <w:vertAlign w:val="baseline"/>
                <w:rtl w:val="0"/>
              </w:rPr>
              <w:t xml:space="preserve">Instructional Input - </w:t>
            </w:r>
            <w:r w:rsidDel="00000000" w:rsidR="00000000" w:rsidRPr="00000000">
              <w:rPr>
                <w:b w:val="1"/>
                <w:bCs w:val="1"/>
                <w:sz w:val="20"/>
                <w:szCs w:val="20"/>
                <w:highlight w:val="yellow"/>
                <w:rtl w:val="0"/>
              </w:rPr>
              <w:t xml:space="preserve">Asynchronous </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highlight w:val="yellow"/>
              </w:rPr>
            </w:pPr>
            <w:r w:rsidDel="00000000" w:rsidR="00000000" w:rsidRPr="00000000">
              <w:rPr>
                <w:b w:val="1"/>
                <w:bCs w:val="1"/>
                <w:i w:val="0"/>
                <w:iCs w:val="0"/>
                <w:smallCaps w:val="0"/>
                <w:strike w:val="0"/>
                <w:sz w:val="20"/>
                <w:szCs w:val="20"/>
                <w:highlight w:val="yellow"/>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i w:val="0"/>
                <w:iCs w:val="0"/>
                <w:smallCaps w:val="0"/>
                <w:strike w:val="0"/>
                <w:sz w:val="20"/>
                <w:szCs w:val="20"/>
                <w:highlight w:val="yellow"/>
                <w:vertAlign w:val="baseline"/>
                <w:rtl w:val="0"/>
              </w:rPr>
              <w:t xml:space="preserve">M: Modeling (I do)</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highlight w:val="yellow"/>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i w:val="0"/>
                <w:iCs w:val="0"/>
                <w:smallCaps w:val="0"/>
                <w:strike w:val="0"/>
                <w:sz w:val="20"/>
                <w:szCs w:val="20"/>
                <w:highlight w:val="yellow"/>
                <w:vertAlign w:val="baseline"/>
                <w:rtl w:val="0"/>
              </w:rPr>
              <w:t xml:space="preserve">GP: Guided Practice (We do)</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8">
            <w:pPr>
              <w:pageBreakBefore w:val="0"/>
              <w:spacing w:after="0" w:line="240" w:lineRule="auto"/>
              <w:rPr>
                <w:sz w:val="20"/>
                <w:szCs w:val="20"/>
              </w:rPr>
            </w:pPr>
            <w:r w:rsidDel="00000000" w:rsidR="00000000" w:rsidRPr="00000000">
              <w:rPr>
                <w:sz w:val="20"/>
                <w:szCs w:val="20"/>
                <w:rtl w:val="0"/>
              </w:rPr>
              <w:t xml:space="preserve">AS:Students will write a few sentences, up to a paragraph, about the  influence that various cultures have had on Texas. Students will upload their answers to the LMS.</w:t>
            </w:r>
          </w:p>
          <w:p w:rsidR="00000000" w:rsidDel="00000000" w:rsidP="00000000" w:rsidRDefault="00000000" w:rsidRPr="00000000" w14:paraId="0000006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A">
            <w:pPr>
              <w:pageBreakBefore w:val="0"/>
              <w:spacing w:after="0" w:line="240" w:lineRule="auto"/>
              <w:rPr>
                <w:sz w:val="20"/>
                <w:szCs w:val="20"/>
                <w:highlight w:val="yellow"/>
              </w:rPr>
            </w:pPr>
            <w:r w:rsidDel="00000000" w:rsidR="00000000" w:rsidRPr="00000000">
              <w:rPr>
                <w:sz w:val="20"/>
                <w:szCs w:val="20"/>
                <w:rtl w:val="0"/>
              </w:rPr>
              <w:t xml:space="preserve">GP: Ask students some of the ways that people from their background  have contributed to the cultural history of Texas. Inform students that they will research how people from their background have contributed to Texas culture. Once students have completed their research, they are to create a presentation that they can share with their students. (Note: The presentation can include demonstrations if applicable).</w:t>
            </w:r>
            <w:r w:rsidDel="00000000" w:rsidR="00000000" w:rsidRPr="00000000">
              <w:rPr>
                <w:rtl w:val="0"/>
              </w:rPr>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0">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Instructional Input - Synchronous</w:t>
            </w:r>
          </w:p>
          <w:p w:rsidR="00000000" w:rsidDel="00000000" w:rsidP="00000000" w:rsidRDefault="00000000" w:rsidRPr="00000000" w14:paraId="00000071">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AS: Anticipatory Set (Introduction) </w:t>
            </w:r>
          </w:p>
          <w:p w:rsidR="00000000" w:rsidDel="00000000" w:rsidP="00000000" w:rsidRDefault="00000000" w:rsidRPr="00000000" w14:paraId="00000072">
            <w:pPr>
              <w:pageBreakBefore w:val="0"/>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73">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M: Modeling (I do)</w:t>
            </w:r>
          </w:p>
          <w:p w:rsidR="00000000" w:rsidDel="00000000" w:rsidP="00000000" w:rsidRDefault="00000000" w:rsidRPr="00000000" w14:paraId="00000074">
            <w:pPr>
              <w:pageBreakBefore w:val="0"/>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75">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GP: Guided Practice (We do)</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highlight w:val="yellow"/>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8">
            <w:pPr>
              <w:pageBreakBefore w:val="0"/>
              <w:spacing w:after="0" w:line="240" w:lineRule="auto"/>
              <w:rPr>
                <w:sz w:val="20"/>
                <w:szCs w:val="20"/>
              </w:rPr>
            </w:pPr>
            <w:r w:rsidDel="00000000" w:rsidR="00000000" w:rsidRPr="00000000">
              <w:rPr>
                <w:sz w:val="20"/>
                <w:szCs w:val="20"/>
                <w:rtl w:val="0"/>
              </w:rPr>
              <w:t xml:space="preserve">AS:Students will discuss with a partner the influence that various cultures have had on Texas.</w:t>
            </w:r>
          </w:p>
          <w:p w:rsidR="00000000" w:rsidDel="00000000" w:rsidP="00000000" w:rsidRDefault="00000000" w:rsidRPr="00000000" w14:paraId="00000079">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sz w:val="20"/>
                <w:szCs w:val="20"/>
                <w:highlight w:val="yellow"/>
              </w:rPr>
            </w:pPr>
            <w:r w:rsidDel="00000000" w:rsidR="00000000" w:rsidRPr="00000000">
              <w:rPr>
                <w:sz w:val="20"/>
                <w:szCs w:val="20"/>
                <w:rtl w:val="0"/>
              </w:rPr>
              <w:t xml:space="preserve">GP: Ask students some of the ways that people from their background  have contributed to the cultural history of Texas. Inform students that they will research how people from their background have contributed to Texas culture. Once students have completed their research, they are to create a presentation that they can share with their students. (Note: The presentation can include demonstrations if applicable).</w:t>
            </w:r>
            <w:r w:rsidDel="00000000" w:rsidR="00000000" w:rsidRPr="00000000">
              <w:rPr>
                <w:rtl w:val="0"/>
              </w:rPr>
            </w:r>
          </w:p>
        </w:tc>
      </w:tr>
      <w:tr>
        <w:trPr>
          <w:cantSplit w:val="0"/>
          <w:trHeight w:val="42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0">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Students will finish their presentation.</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pageBreakBefore w:val="0"/>
              <w:spacing w:after="0" w:line="240" w:lineRule="auto"/>
              <w:rPr>
                <w:b w:val="1"/>
                <w:bCs w:val="1"/>
                <w:sz w:val="20"/>
                <w:szCs w:val="20"/>
                <w:highlight w:val="yellow"/>
              </w:rPr>
            </w:pPr>
            <w:r w:rsidDel="00000000" w:rsidR="00000000" w:rsidRPr="00000000">
              <w:rPr>
                <w:b w:val="1"/>
                <w:bCs w:val="1"/>
                <w:sz w:val="20"/>
                <w:szCs w:val="20"/>
                <w:highlight w:val="yellow"/>
                <w:rtl w:val="0"/>
              </w:rPr>
              <w:t xml:space="preserve">Lesson Close</w:t>
            </w:r>
          </w:p>
          <w:p w:rsidR="00000000" w:rsidDel="00000000" w:rsidP="00000000" w:rsidRDefault="00000000" w:rsidRPr="00000000" w14:paraId="00000089">
            <w:pPr>
              <w:pageBreakBefore w:val="0"/>
              <w:spacing w:after="0" w:line="240" w:lineRule="auto"/>
              <w:rPr>
                <w:b w:val="1"/>
                <w:bCs w:val="1"/>
                <w:sz w:val="20"/>
                <w:szCs w:val="20"/>
                <w:highlight w:val="yellow"/>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i w:val="0"/>
                <w:iCs w:val="0"/>
                <w:smallCaps w:val="0"/>
                <w:strike w:val="0"/>
                <w:sz w:val="20"/>
                <w:szCs w:val="20"/>
                <w:highlight w:val="yellow"/>
                <w:vertAlign w:val="baseline"/>
                <w:rtl w:val="0"/>
              </w:rPr>
              <w:t xml:space="preserve">What is the answer to the essential question, and why does it matter to me in terms of: </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i w:val="0"/>
                <w:iCs w:val="0"/>
                <w:smallCaps w:val="0"/>
                <w:strike w:val="0"/>
                <w:sz w:val="20"/>
                <w:szCs w:val="20"/>
                <w:highlight w:val="yellow"/>
                <w:vertAlign w:val="baseline"/>
                <w:rtl w:val="0"/>
              </w:rPr>
              <w:t xml:space="preserve">Educational?</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i w:val="0"/>
                <w:iCs w:val="0"/>
                <w:smallCaps w:val="0"/>
                <w:strike w:val="0"/>
                <w:sz w:val="20"/>
                <w:szCs w:val="20"/>
                <w:highlight w:val="yellow"/>
                <w:vertAlign w:val="baseline"/>
                <w:rtl w:val="0"/>
              </w:rPr>
              <w:t xml:space="preserve">Social?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i w:val="0"/>
                <w:iCs w:val="0"/>
                <w:smallCaps w:val="0"/>
                <w:strike w:val="0"/>
                <w:sz w:val="20"/>
                <w:szCs w:val="20"/>
                <w:highlight w:val="yellow"/>
                <w:vertAlign w:val="baseline"/>
                <w:rtl w:val="0"/>
              </w:rPr>
              <w:t xml:space="preserve">Cultural?</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i w:val="0"/>
                <w:iCs w:val="0"/>
                <w:smallCaps w:val="0"/>
                <w:strike w:val="0"/>
                <w:sz w:val="20"/>
                <w:szCs w:val="20"/>
                <w:highlight w:val="yellow"/>
                <w:vertAlign w:val="baseline"/>
                <w:rtl w:val="0"/>
              </w:rPr>
              <w:t xml:space="preserve">Financial?</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i w:val="0"/>
                <w:iCs w:val="0"/>
                <w:smallCaps w:val="0"/>
                <w:strike w:val="0"/>
                <w:sz w:val="20"/>
                <w:szCs w:val="20"/>
                <w:highlight w:val="yellow"/>
                <w:vertAlign w:val="baseline"/>
                <w:rtl w:val="0"/>
              </w:rPr>
              <w:t xml:space="preserve">Health?</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i w:val="0"/>
                <w:iCs w:val="0"/>
                <w:smallCaps w:val="0"/>
                <w:strike w:val="0"/>
                <w:sz w:val="20"/>
                <w:szCs w:val="20"/>
                <w:highlight w:val="yellow"/>
                <w:vertAlign w:val="baseline"/>
                <w:rtl w:val="0"/>
              </w:rPr>
              <w:t xml:space="preserve">Vocational?</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highlight w:val="yellow"/>
                <w:vertAlign w:val="baseline"/>
              </w:rPr>
            </w:pPr>
            <w:r w:rsidDel="00000000" w:rsidR="00000000" w:rsidRPr="00000000">
              <w:rPr>
                <w:b w:val="1"/>
                <w:bCs w:val="1"/>
                <w:i w:val="0"/>
                <w:iCs w:val="0"/>
                <w:smallCaps w:val="0"/>
                <w:strike w:val="0"/>
                <w:sz w:val="20"/>
                <w:szCs w:val="20"/>
                <w:highlight w:val="yellow"/>
                <w:vertAlign w:val="baseline"/>
                <w:rtl w:val="0"/>
              </w:rPr>
              <w:t xml:space="preserve">Spiritual?</w:t>
            </w:r>
          </w:p>
          <w:p w:rsidR="00000000" w:rsidDel="00000000" w:rsidP="00000000" w:rsidRDefault="00000000" w:rsidRPr="00000000" w14:paraId="00000092">
            <w:pPr>
              <w:pageBreakBefore w:val="0"/>
              <w:spacing w:after="0" w:line="240" w:lineRule="auto"/>
              <w:rPr>
                <w:b w:val="1"/>
                <w:bCs w:val="1"/>
                <w:sz w:val="20"/>
                <w:szCs w:val="20"/>
                <w:highlight w:val="yellow"/>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5">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96">
            <w:pPr>
              <w:pageBreakBefore w:val="0"/>
              <w:spacing w:after="0" w:line="240" w:lineRule="auto"/>
              <w:rPr>
                <w:sz w:val="20"/>
                <w:szCs w:val="20"/>
              </w:rPr>
            </w:pPr>
            <w:r w:rsidDel="00000000" w:rsidR="00000000" w:rsidRPr="00000000">
              <w:rPr>
                <w:sz w:val="20"/>
                <w:szCs w:val="20"/>
                <w:rtl w:val="0"/>
              </w:rPr>
              <w:t xml:space="preserve">Dedication generally refers to being committed to a task or purpose. But what does dedication mean to you? How can you demonstrate your dedication towards something?</w:t>
            </w:r>
          </w:p>
          <w:p w:rsidR="00000000" w:rsidDel="00000000" w:rsidP="00000000" w:rsidRDefault="00000000" w:rsidRPr="00000000" w14:paraId="00000097">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8">
            <w:pPr>
              <w:pageBreakBefore w:val="0"/>
              <w:spacing w:after="0" w:line="240" w:lineRule="auto"/>
              <w:rPr>
                <w:b w:val="1"/>
                <w:bCs w:val="1"/>
                <w:sz w:val="20"/>
                <w:szCs w:val="20"/>
              </w:rPr>
            </w:pPr>
            <w:r w:rsidDel="00000000" w:rsidR="00000000" w:rsidRPr="00000000">
              <w:rPr>
                <w:b w:val="1"/>
                <w:bCs w:val="1"/>
                <w:sz w:val="20"/>
                <w:szCs w:val="20"/>
                <w:rtl w:val="0"/>
              </w:rPr>
              <w:t xml:space="preserve">Health</w:t>
            </w:r>
          </w:p>
          <w:p w:rsidR="00000000" w:rsidDel="00000000" w:rsidP="00000000" w:rsidRDefault="00000000" w:rsidRPr="00000000" w14:paraId="00000099">
            <w:pPr>
              <w:pageBreakBefore w:val="0"/>
              <w:spacing w:after="0" w:line="240" w:lineRule="auto"/>
              <w:rPr>
                <w:sz w:val="20"/>
                <w:szCs w:val="20"/>
              </w:rPr>
            </w:pPr>
            <w:r w:rsidDel="00000000" w:rsidR="00000000" w:rsidRPr="00000000">
              <w:rPr>
                <w:sz w:val="20"/>
                <w:szCs w:val="20"/>
                <w:rtl w:val="0"/>
              </w:rPr>
              <w:t xml:space="preserve">While you are young you have your parents  to monitor your health. However, that does not mean that you cannot be assertive about your health. If you are feeling sick or if you get hurt you should it is important that you be able to speak up, as in mind me the difference between being healthy and facing serious illness. What are some ways you can be assertive about your own health?</w:t>
            </w:r>
          </w:p>
          <w:p w:rsidR="00000000" w:rsidDel="00000000" w:rsidP="00000000" w:rsidRDefault="00000000" w:rsidRPr="00000000" w14:paraId="0000009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B">
            <w:pPr>
              <w:pageBreakBefore w:val="0"/>
              <w:spacing w:after="0" w:line="240" w:lineRule="auto"/>
              <w:rPr>
                <w:b w:val="1"/>
                <w:bCs w:val="1"/>
                <w:sz w:val="20"/>
                <w:szCs w:val="20"/>
              </w:rPr>
            </w:pPr>
            <w:r w:rsidDel="00000000" w:rsidR="00000000" w:rsidRPr="00000000">
              <w:rPr>
                <w:b w:val="1"/>
                <w:bCs w:val="1"/>
                <w:sz w:val="20"/>
                <w:szCs w:val="20"/>
                <w:rtl w:val="0"/>
              </w:rPr>
              <w:t xml:space="preserve">Educational</w:t>
            </w:r>
          </w:p>
          <w:p w:rsidR="00000000" w:rsidDel="00000000" w:rsidP="00000000" w:rsidRDefault="00000000" w:rsidRPr="00000000" w14:paraId="0000009C">
            <w:pPr>
              <w:pageBreakBefore w:val="0"/>
              <w:spacing w:after="0" w:line="240" w:lineRule="auto"/>
              <w:rPr>
                <w:sz w:val="20"/>
                <w:szCs w:val="20"/>
              </w:rPr>
            </w:pPr>
            <w:r w:rsidDel="00000000" w:rsidR="00000000" w:rsidRPr="00000000">
              <w:rPr>
                <w:sz w:val="20"/>
                <w:szCs w:val="20"/>
                <w:rtl w:val="0"/>
              </w:rPr>
              <w:t xml:space="preserve">Building a culture takes time, especially in a place with  as rich of a history as Texas. Many of the people who contribute to the cultural identity of Texas spent hours building their skills. Although you are currently in Middle School, you too are developing your skills, particularly when it comes to education. One of the ways that people develop an educational skill set is to employ your cultural background. What are some ways you can integrate your cultural background into developing your educational skill set.</w:t>
            </w:r>
          </w:p>
          <w:p w:rsidR="00000000" w:rsidDel="00000000" w:rsidP="00000000" w:rsidRDefault="00000000" w:rsidRPr="00000000" w14:paraId="0000009D">
            <w:pPr>
              <w:pageBreakBefore w:val="0"/>
              <w:spacing w:after="0" w:line="240" w:lineRule="auto"/>
              <w:rPr>
                <w:sz w:val="20"/>
                <w:szCs w:val="20"/>
                <w:highlight w:val="yellow"/>
              </w:rPr>
            </w:pPr>
            <w:r w:rsidDel="00000000" w:rsidR="00000000" w:rsidRPr="00000000">
              <w:rPr>
                <w:rtl w:val="0"/>
              </w:rPr>
            </w:r>
          </w:p>
        </w:tc>
      </w:tr>
    </w:tbl>
    <w:p w:rsidR="00000000" w:rsidDel="00000000" w:rsidP="00000000" w:rsidRDefault="00000000" w:rsidRPr="00000000" w14:paraId="000000A3">
      <w:pPr>
        <w:pageBreakBefore w:val="0"/>
        <w:rPr>
          <w:sz w:val="20"/>
          <w:szCs w:val="20"/>
          <w:highlight w:val="yellow"/>
        </w:rPr>
      </w:pPr>
      <w:r w:rsidDel="00000000" w:rsidR="00000000" w:rsidRPr="00000000">
        <w:rPr>
          <w:rtl w:val="0"/>
        </w:rPr>
      </w:r>
    </w:p>
    <w:p w:rsidR="00000000" w:rsidDel="00000000" w:rsidP="00000000" w:rsidRDefault="00000000" w:rsidRPr="00000000" w14:paraId="000000A4">
      <w:pPr>
        <w:pageBreakBefore w:val="0"/>
        <w:rPr>
          <w:sz w:val="20"/>
          <w:szCs w:val="20"/>
          <w:highlight w:val="yellow"/>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shaonline.org/handbook" TargetMode="External"/><Relationship Id="rId5" Type="http://schemas.openxmlformats.org/officeDocument/2006/relationships/styles" Target="styles.xml"/><Relationship Id="rId6" Type="http://schemas.openxmlformats.org/officeDocument/2006/relationships/hyperlink" Target="https://texasalmanac.com/" TargetMode="External"/><Relationship Id="rId7" Type="http://schemas.openxmlformats.org/officeDocument/2006/relationships/hyperlink" Target="https://texashistory.unt.edu/" TargetMode="External"/><Relationship Id="rId8" Type="http://schemas.openxmlformats.org/officeDocument/2006/relationships/hyperlink" Target="https://digital.sfasu.edu/digi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