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Force, Motion, &amp; Energy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18"/>
                <w:szCs w:val="18"/>
              </w:rPr>
            </w:pPr>
            <w:r w:rsidDel="00000000" w:rsidR="00000000" w:rsidRPr="00000000">
              <w:rPr>
                <w:sz w:val="20"/>
                <w:szCs w:val="20"/>
                <w:rtl w:val="0"/>
              </w:rPr>
              <w:t xml:space="preserve">TEKS: </w:t>
            </w:r>
            <w:r w:rsidDel="00000000" w:rsidR="00000000" w:rsidRPr="00000000">
              <w:rPr>
                <w:rFonts w:ascii="Roboto" w:cs="Roboto" w:eastAsia="Roboto" w:hAnsi="Roboto"/>
                <w:color w:val="4d5156"/>
                <w:sz w:val="21"/>
                <w:szCs w:val="21"/>
                <w:highlight w:val="white"/>
                <w:rtl w:val="0"/>
              </w:rPr>
              <w:t xml:space="preserve"> </w:t>
            </w:r>
            <w:r w:rsidDel="00000000" w:rsidR="00000000" w:rsidRPr="00000000">
              <w:rPr>
                <w:sz w:val="19"/>
                <w:szCs w:val="19"/>
                <w:highlight w:val="white"/>
                <w:rtl w:val="0"/>
              </w:rPr>
              <w:t xml:space="preserve">6.9(A) -</w:t>
            </w:r>
            <w:r w:rsidDel="00000000" w:rsidR="00000000" w:rsidRPr="00000000">
              <w:rPr>
                <w:rFonts w:ascii="Roboto" w:cs="Roboto" w:eastAsia="Roboto" w:hAnsi="Roboto"/>
                <w:sz w:val="19"/>
                <w:szCs w:val="19"/>
                <w:highlight w:val="white"/>
                <w:rtl w:val="0"/>
              </w:rPr>
              <w:t xml:space="preserve">I</w:t>
            </w:r>
            <w:r w:rsidDel="00000000" w:rsidR="00000000" w:rsidRPr="00000000">
              <w:rPr>
                <w:sz w:val="19"/>
                <w:szCs w:val="19"/>
                <w:highlight w:val="white"/>
                <w:rtl w:val="0"/>
              </w:rPr>
              <w:t xml:space="preserve">nvestigate methods of thermal energy transfer, including conduction, convection, and radiation.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3 of 3</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38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Thermal Energy Transfer</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Students will differentiate between conduction, convection, and radiation.</w:t>
            </w:r>
          </w:p>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Students will provide examples and nonexamples of each type of thermal energy transfer.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7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How does thermal energy explain our earlier observations?  </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 Do you want to improve and excel?</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 Guidance counselors and career advisors can provide information to help analyze strengths and weaknesses and required skills for our desired career.</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 Develop skill set to become more resourceful and competent. Hone strengths and improve weaknesses to become well-rounded.</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rtl w:val="0"/>
              </w:rPr>
            </w:r>
          </w:p>
        </w:tc>
      </w:tr>
      <w:tr>
        <w:trPr>
          <w:cantSplit w:val="0"/>
          <w:trHeight w:val="9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Heat Transfer Frayer Model </w:t>
            </w:r>
            <w:hyperlink r:id="rId6">
              <w:r w:rsidDel="00000000" w:rsidR="00000000" w:rsidRPr="00000000">
                <w:rPr>
                  <w:color w:val="1155cc"/>
                  <w:sz w:val="20"/>
                  <w:szCs w:val="20"/>
                  <w:u w:val="single"/>
                  <w:rtl w:val="0"/>
                </w:rPr>
                <w:t xml:space="preserve">https://docs.google.com/presentation/d/1Jqns2ztng2n7XDHpqKsY5vnZ7idc7QTasEgt8KwAVAg/edit?usp=sharing</w:t>
              </w:r>
            </w:hyperlink>
            <w:r w:rsidDel="00000000" w:rsidR="00000000" w:rsidRPr="00000000">
              <w:rPr>
                <w:rtl w:val="0"/>
              </w:rPr>
            </w:r>
          </w:p>
        </w:tc>
      </w:tr>
      <w:tr>
        <w:trPr>
          <w:cantSplit w:val="0"/>
          <w:trHeight w:val="40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recap the What’s Coining On” activity from lesson ⅓</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should be able to describe the activity, observations, and possible explanations.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will recreate What’s Coining On? activity as a demonstration (filmed for asynch virtual students) so that students have the opportunity to make observations with new information and knowledge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D">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will allow students to describe what they’d observed using the new terms (conduction, convection, radiation)</w:t>
            </w:r>
          </w:p>
          <w:p w:rsidR="00000000" w:rsidDel="00000000" w:rsidP="00000000" w:rsidRDefault="00000000" w:rsidRPr="00000000" w14:paraId="0000002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The coin in the activity moves due to heat transfer from hands to the bottle. The warming bottles heats up the air in the bottle which creates a convection current that causes the air to move upwards. The moving air causes the coin to dance around the bottle opening.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3">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will recap the What’s Coining On” activity from lesson ⅓</w:t>
            </w:r>
          </w:p>
          <w:p w:rsidR="00000000" w:rsidDel="00000000" w:rsidP="00000000" w:rsidRDefault="00000000" w:rsidRPr="00000000" w14:paraId="0000003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Students should be able to describe the activity, observations, and possible explanations.</w:t>
            </w:r>
          </w:p>
          <w:p w:rsidR="00000000" w:rsidDel="00000000" w:rsidP="00000000" w:rsidRDefault="00000000" w:rsidRPr="00000000" w14:paraId="00000035">
            <w:pPr>
              <w:pageBreakBefore w:val="0"/>
              <w:spacing w:after="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7">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Teacher will recreate What’s Coining On? activity as a demonstration (filmed for asynch virtual students) so that students have the opportunity to make observations with new information and knowledge</w:t>
            </w:r>
          </w:p>
          <w:p w:rsidR="00000000" w:rsidDel="00000000" w:rsidP="00000000" w:rsidRDefault="00000000" w:rsidRPr="00000000" w14:paraId="00000038">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A">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will allow students to describe what they’d observed using the new terms (conduction, convection, radiation)</w:t>
            </w:r>
          </w:p>
          <w:p w:rsidR="00000000" w:rsidDel="00000000" w:rsidP="00000000" w:rsidRDefault="00000000" w:rsidRPr="00000000" w14:paraId="0000003B">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The coin in the activity moves due to heat transfer from hands to the bottle. The warming bottles heats up the air in the bottle which creates a convection current that causes the air to move upwards. The moving air causes the coin to dance around the bottle opening. </w:t>
            </w:r>
          </w:p>
        </w:tc>
      </w:tr>
      <w:tr>
        <w:trPr>
          <w:cantSplit w:val="0"/>
          <w:trHeight w:val="16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complete Frayer Model for each of the 3 types of heat transfer</w:t>
            </w:r>
          </w:p>
          <w:p w:rsidR="00000000" w:rsidDel="00000000" w:rsidP="00000000" w:rsidRDefault="00000000" w:rsidRPr="00000000" w14:paraId="0000003F">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defining each term</w:t>
            </w:r>
          </w:p>
          <w:p w:rsidR="00000000" w:rsidDel="00000000" w:rsidP="00000000" w:rsidRDefault="00000000" w:rsidRPr="00000000" w14:paraId="00000040">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identifying characteristics</w:t>
            </w:r>
          </w:p>
          <w:p w:rsidR="00000000" w:rsidDel="00000000" w:rsidP="00000000" w:rsidRDefault="00000000" w:rsidRPr="00000000" w14:paraId="00000041">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providing examples of each </w:t>
            </w:r>
          </w:p>
          <w:p w:rsidR="00000000" w:rsidDel="00000000" w:rsidP="00000000" w:rsidRDefault="00000000" w:rsidRPr="00000000" w14:paraId="00000042">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providing nonexamples of each</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5">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single"/>
                <w:shd w:fill="auto" w:val="clear"/>
                <w:vertAlign w:val="baseline"/>
              </w:rPr>
            </w:pPr>
            <w:r w:rsidDel="00000000" w:rsidR="00000000" w:rsidRPr="00000000">
              <w:rPr>
                <w:b w:val="1"/>
                <w:bCs w:val="1"/>
                <w:sz w:val="20"/>
                <w:szCs w:val="20"/>
                <w:u w:val="single"/>
                <w:rtl w:val="0"/>
              </w:rPr>
              <w:t xml:space="preserve">Vocational</w:t>
            </w:r>
            <w:r w:rsidDel="00000000" w:rsidR="00000000" w:rsidRPr="00000000">
              <w:rPr>
                <w:b w:val="1"/>
                <w:bCs w:val="1"/>
                <w:i w:val="0"/>
                <w:iCs w:val="0"/>
                <w:smallCaps w:val="0"/>
                <w:strike w:val="0"/>
                <w:color w:val="000000"/>
                <w:sz w:val="20"/>
                <w:szCs w:val="20"/>
                <w:u w:val="singl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 is importa</w:t>
            </w:r>
            <w:r w:rsidDel="00000000" w:rsidR="00000000" w:rsidRPr="00000000">
              <w:rPr>
                <w:sz w:val="20"/>
                <w:szCs w:val="20"/>
                <w:rtl w:val="0"/>
              </w:rPr>
              <w:t xml:space="preserve">nt to be able to find similarities and differences in objects and processes to think critically and solve problems. Being well-rounded, analytical, and creative help us become resourceful. To live, learn, and work in the world, a person must be able to function beyond simply following orders and completing sequential steps. Employers value innovation, creativity, and the ability to troubleshoot. </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We have to be willing to be lifelong learners and open to constant improvement if we want to ensure that we are always valuable.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We can begin by asking ourselves:</w:t>
            </w:r>
          </w:p>
          <w:p w:rsidR="00000000" w:rsidDel="00000000" w:rsidP="00000000" w:rsidRDefault="00000000" w:rsidRPr="00000000" w14:paraId="0000004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Where can I improve?</w:t>
            </w:r>
          </w:p>
          <w:p w:rsidR="00000000" w:rsidDel="00000000" w:rsidP="00000000" w:rsidRDefault="00000000" w:rsidRPr="00000000" w14:paraId="0000004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In what areas do I excel?</w:t>
            </w:r>
          </w:p>
          <w:p w:rsidR="00000000" w:rsidDel="00000000" w:rsidP="00000000" w:rsidRDefault="00000000" w:rsidRPr="00000000" w14:paraId="0000004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In what areas do I need work?</w:t>
            </w:r>
          </w:p>
          <w:p w:rsidR="00000000" w:rsidDel="00000000" w:rsidP="00000000" w:rsidRDefault="00000000" w:rsidRPr="00000000" w14:paraId="0000004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What do I need to learn?</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Guidance counselors and career advisors can advise about skills and education needed for desired careers. We have to be willing to assess ourselves and our plans to make sure they align with one another.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Jqns2ztng2n7XDHpqKsY5vnZ7idc7QTasEgt8KwAVA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