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6750"/>
        <w:tblGridChange w:id="0">
          <w:tblGrid>
            <w:gridCol w:w="366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Claim/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was Emmett Till like as a young boy?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Emmett Till’s actions in the grocery store were equivalent to his punishment.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did Till’s mother hold an open-casket funeral?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outcome of Bryant and Milam’s trials were not equal to their crime.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720" w:hanging="72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R-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restate the question or prompt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720" w:hanging="72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A-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answer the question or give your opinion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720" w:hanging="72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C-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cite text evidence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720" w:hanging="72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E-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explain or elaborate to make a connection between the answer and evidence.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480" w:lineRule="auto"/>
              <w:ind w:left="0" w:firstLine="0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30"/>
                <w:szCs w:val="30"/>
                <w:rtl w:val="0"/>
              </w:rPr>
              <w:t xml:space="preserve">As a young boy, Emmett Till was helpful and responsible. In the text it says, “With his mother often working more than 12-hour days, Till took on his full share of domestic responsibilities from a very young age.” This shows that he worked hard, even as a young boy. He did not just expect his mother to take care of him, instead he put in work around the house as well.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ind w:left="720" w:hanging="72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