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rHeight w:val="1846.054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- 7.10E: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Publish written work for appropriate audiences. 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Expectation - 7.6H: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Respond orally or in writing with appropriate register, vocabulary, tone, and voice.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U421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Students Choose: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Student Expectation - 7.11A: 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compose literary texts such as personal narratives, fiction, and poetry using genre characteristics and craft; 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Student Expectation - 7.11B: 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Compose informational texts, including multi-paragraph essays that convey information about a topic, using a clear controlling idea or thesis statement and genre cha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racteristics and craft.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- 7.11C: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Compose multi-paragraph argumentative texts using genre characteristics and craft.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46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D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E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5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D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60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62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65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