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12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МОДУЛЬ 3. ТЕХНИЧЕСКИЙ НАДЗОР, СТРОИТЕЛЬСТВО, РЕКОНСТРУКЦИЯ И КАПИТАЛЬНЫЙ РЕМОНТ</w:t>
      </w:r>
    </w:p>
    <w:p/>
    <w:p>
      <w:pPr>
        <w:spacing w:line="276" w:lineRule="auto" w:after="120"/>
        <w:ind w:firstLine="0"/>
        <w:jc w:val="both"/>
      </w:pPr>
      <w:r>
        <w:rPr>
          <w:rFonts w:ascii="Times New Roman" w:hAnsi="Times New Roman" w:eastAsia="Times New Roman"/>
          <w:b/>
          <w:sz w:val="24"/>
        </w:rPr>
        <w:t>Тема 3.1. Строительство и реконструкция газопроводов: прокладка, контроль СМР, охранные зоны</w:t>
      </w:r>
    </w:p>
    <w:p/>
    <w:p>
      <w:pPr>
        <w:spacing w:line="276" w:lineRule="auto" w:after="120"/>
        <w:ind w:firstLine="0"/>
        <w:jc w:val="both"/>
      </w:pPr>
      <w:r>
        <w:rPr>
          <w:rFonts w:ascii="Times New Roman" w:hAnsi="Times New Roman" w:eastAsia="Times New Roman"/>
          <w:b w:val="0"/>
          <w:sz w:val="22"/>
        </w:rPr>
        <w:t>Нормативная база: Технический регламент (ПП РФ № 870), ФНП № 531, Правила охраны газораспределительных сетей (ПП РФ № 878).</w:t>
      </w:r>
    </w:p>
    <w:p/>
    <w:p>
      <w:pPr>
        <w:spacing w:line="276" w:lineRule="auto" w:after="120"/>
        <w:ind w:firstLine="0"/>
        <w:jc w:val="both"/>
      </w:pPr>
      <w:r>
        <w:rPr>
          <w:rFonts w:ascii="Times New Roman" w:hAnsi="Times New Roman" w:eastAsia="Times New Roman"/>
          <w:b/>
          <w:sz w:val="24"/>
        </w:rPr>
        <w:t>Строительство и реконструкция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При строительстве, реконструкции, монтаже и капитальном ремонте должно быть обеспечено соблюдение технических решений, предусмотренных проектной документацией; требований эксплуатационной документации изготовителей газоиспользующего оборудования, технических и технологических устройств, труб, материалов и соединительных деталей; технологии строительства, монтажа, капитального ремонта и реконструкции в соответствии с проектом производства работ или технологическими картами.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При строительстве, реконструкции, монтаже и капитальном ремонте должны применяться материалы, технологии и оборудование, предусмотренные проектной документацией. Исполнительная документация должна отражать фактически выполненные работы и использованные материалы.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В случае выявления отступлений от требований, использования материалов, не предусмотренных проектной документацией, и нарушения порядка и некачественного выполнения работ строительно-монтажные работы должны быть приостановлены, а обнаруженные дефекты устранены.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Результаты пусконаладочных работ сетей, строительство, реконструкция, монтаж и капитальный ремонт которых завершены, должны соответствовать проектной документации.</w:t>
      </w:r>
    </w:p>
    <w:p/>
    <w:p>
      <w:pPr>
        <w:spacing w:line="276" w:lineRule="auto" w:after="120"/>
        <w:ind w:firstLine="0"/>
        <w:jc w:val="both"/>
      </w:pPr>
      <w:r>
        <w:rPr>
          <w:rFonts w:ascii="Times New Roman" w:hAnsi="Times New Roman" w:eastAsia="Times New Roman"/>
          <w:b/>
          <w:sz w:val="24"/>
        </w:rPr>
        <w:t>Прокладка и монтаж газопроводов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Технология укладки газопроводов должна обеспечивать сохранность поверхности трубы газопровода, его изоляционных покрытий и соединений, а также положение газопровода, указанное в проектной документации.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При строительстве, монтаже, капитальном ремонте и реконструкции газопроводов должны быть приняты меры по предотвращению засорения полости труб, секций и плетей из труб.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Участки газопроводов, прокладываемые внутри защитных устройств через ограждающие строительные конструкции здания, не должны иметь стыковых, резьбовых и фланцевых соединений. Участки газопроводов, прокладываемые в каналах со съёмными перекрытиями и в бороздах стен, не должны иметь резьбовых и фланцевых соединений.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Энергетическая эффективность построенных, отремонтированных и реконструированных сетей газораспределения и газопотребления должна обеспечиваться за счёт их герметичности, то есть отсутствия утечек газа.</w:t>
      </w:r>
    </w:p>
    <w:p/>
    <w:p>
      <w:pPr>
        <w:spacing w:line="276" w:lineRule="auto" w:after="120"/>
        <w:ind w:firstLine="0"/>
        <w:jc w:val="both"/>
      </w:pPr>
      <w:r>
        <w:rPr>
          <w:rFonts w:ascii="Times New Roman" w:hAnsi="Times New Roman" w:eastAsia="Times New Roman"/>
          <w:b/>
          <w:sz w:val="24"/>
        </w:rPr>
        <w:t>Контроль СМР и технический надзор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Государственный контроль (надзор) за соблюдением требований технического регуламента при строительстве, реконструкции, капитальном ремонте и монтаже сетей газораспределения и газопотребления осуществляет Ростехнадзор.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При строительстве, реконструкции, капитальном ремонте, монтаже, консервации и ликвидации сетей оценка соответствия осуществляется в форме государственного контроля (надзора).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Застройщик организует строительный контроль за соблюдением проектной документации, качеством материалов и правильностью выполнения работ. При выявлении нарушений работы приостанавливаются до устранения дефектов.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При приёмке сетей после строительства либо реконструкции создаётся приемочная комиссия, в состав которой входят представители застройщика, строительной организации, проектной организации, эксплуатационной организации, органа государственного строительного надзора и Ростехнадзора.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Строительная организация при приёмке предоставляет исполнительную документацию, подтверждающую соответствие выполненных работ проектной документации.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Организация, эксплуатирующая сети газораспределения и газопотребления, должна хранить проектную и исполнительную документацию в течение всего срока эксплуатации опасного производственного объекта (до ликвидации). Порядок и условия хранения определяются приказом руководителя эксплуатирующей организации.</w:t>
      </w:r>
    </w:p>
    <w:p/>
    <w:p>
      <w:pPr>
        <w:spacing w:line="276" w:lineRule="auto" w:after="120"/>
        <w:ind w:firstLine="0"/>
        <w:jc w:val="both"/>
      </w:pPr>
      <w:r>
        <w:rPr>
          <w:rFonts w:ascii="Times New Roman" w:hAnsi="Times New Roman" w:eastAsia="Times New Roman"/>
          <w:b/>
          <w:sz w:val="24"/>
        </w:rPr>
        <w:t>Охранные зоны газопроводов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В проектной документации на сеть газораспределения должны быть указаны границы охранных зон сети газораспределения.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Для газораспределительных сетей устанавливаются охранные зоны: вдоль трасс наружных газопроводов — на расстоянии 2 метров с каждой стороны газопровода; вдоль трасс подземных полиэтиленовых газопроводов при использовании медного провода — 3 метра со стороны провода и 2 метра с противоположной стороны; вокруг отдельно стоящих газорегуляторных пунктов — на расстоянии 10 метров от границ объекта.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На земельные участки в охранных зонах газораспределительных сетей налагаются ограничения использования. Запрещается: строительство объектов; разливать кислоты и щелочи; разводить огонь; обрабатывать почву на глубину более 0,3 метра; самовольно подключаться к сетям газораспределения.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Хозяйственная и иная деятельность в охранных зонах, связанная с нарушением поверхности земли и обработкой почвы на глубину более 0,3 метра, допускается на основании письменного разрешения эксплуатирующей организации.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При проведении строительно-монтажных работ вблизи действующих газопроводов необходимо соблюдать установленные ограничения и согласовывать работы с эксплуатирующей организацией.</w:t>
      </w:r>
    </w:p>
    <w:p/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