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i w:val="0"/>
          <w:color w:val="1F4E79"/>
          <w:sz w:val="32"/>
        </w:rPr>
        <w:t>КАДРОВЫЙ ЭЛЕКТРОННЫЙ ДОКУМЕНТООБОРОТ</w:t>
      </w:r>
    </w:p>
    <w:p>
      <w:pPr>
        <w:ind w:firstLine="0"/>
        <w:jc w:val="center"/>
      </w:pPr>
      <w:r>
        <w:rPr>
          <w:rFonts w:ascii="Times New Roman" w:hAnsi="Times New Roman" w:eastAsia="Times New Roman"/>
          <w:b w:val="0"/>
          <w:i/>
          <w:color w:val="535353"/>
          <w:sz w:val="24"/>
        </w:rPr>
        <w:t>Раздел по структуре отчёта Фонда «Сколково» о НИР по цифровизации охраны труда (2023).</w:t>
        <w:br/>
        <w:t>Содержание актуализировано: зарубежный опыт кадрового ЭДО, виды подписей, судебные кейсы,</w:t>
        <w:br/>
        <w:t>общие и индивидуальные требования. Август 2026 г.</w:t>
      </w:r>
    </w:p>
    <w:p>
      <w:pPr>
        <w:spacing w:line="360" w:lineRule="auto"/>
        <w:ind w:firstLine="0"/>
      </w:pPr>
      <w:r>
        <w:rPr>
          <w:rFonts w:ascii="Times New Roman" w:hAnsi="Times New Roman" w:eastAsia="Times New Roman"/>
          <w:b w:val="0"/>
          <w:i w:val="0"/>
          <w:sz w:val="28"/>
        </w:rPr>
        <w:t>В отчёте Сколково (2023) вопрос цифровизации охраны труда предлагалось рассматривать с двух сторон: регулирование охраны труда за рубежом и регулирование электронного документооборота. Ниже сохранены те же блоки (понятие ЭДО, виды подписей, таблица стран, судебная практика, риски ПЭП, требования к системам, документы СУОТ, инструктажи), но заполнены по кадровому обороту: какие подписи используют, чем это регламентируется, какие требования общие, какие — национальные исключения.</w:t>
      </w:r>
    </w:p>
    <w:p>
      <w:pPr>
        <w:spacing w:before="40" w:after="160"/>
        <w:ind w:firstLine="0"/>
      </w:pPr>
      <w:r>
        <w:rPr>
          <w:rFonts w:ascii="Times New Roman" w:hAnsi="Times New Roman" w:eastAsia="Times New Roman"/>
          <w:b w:val="0"/>
          <w:i/>
          <w:color w:val="535353"/>
          <w:sz w:val="22"/>
        </w:rPr>
        <w:t xml:space="preserve">Проверить: </w:t>
      </w:r>
      <w:hyperlink r:id="rId9">
        <w:r>
          <w:rPr>
            <w:color w:val="0563C1"/>
            <w:u w:val="single"/>
            <w:sz w:val="22"/>
            <w:rFonts w:ascii="Calibri" w:hAnsi="Calibri"/>
          </w:rPr>
          <w:t xml:space="preserve">eIDAS (EU) 910/2014</w:t>
        </w:r>
      </w:hyperlink>
      <w:r>
        <w:rPr>
          <w:rFonts w:ascii="Times New Roman" w:hAnsi="Times New Roman" w:eastAsia="Times New Roman"/>
          <w:b w:val="0"/>
          <w:i w:val="0"/>
          <w:color w:val="535353"/>
          <w:sz w:val="22"/>
        </w:rPr>
        <w:t xml:space="preserve">  ·  </w:t>
      </w:r>
      <w:hyperlink r:id="rId10">
        <w:r>
          <w:rPr>
            <w:color w:val="0563C1"/>
            <w:u w:val="single"/>
            <w:sz w:val="22"/>
            <w:rFonts w:ascii="Calibri" w:hAnsi="Calibri"/>
          </w:rPr>
          <w:t xml:space="preserve">63‑ФЗ об электронной подписи</w:t>
        </w:r>
      </w:hyperlink>
      <w:r>
        <w:rPr>
          <w:rFonts w:ascii="Times New Roman" w:hAnsi="Times New Roman" w:eastAsia="Times New Roman"/>
          <w:b w:val="0"/>
          <w:i w:val="0"/>
          <w:color w:val="535353"/>
          <w:sz w:val="22"/>
        </w:rPr>
        <w:t xml:space="preserve">  ·  </w:t>
      </w:r>
      <w:hyperlink r:id="rId11">
        <w:r>
          <w:rPr>
            <w:color w:val="0563C1"/>
            <w:u w:val="single"/>
            <w:sz w:val="22"/>
            <w:rFonts w:ascii="Calibri" w:hAnsi="Calibri"/>
          </w:rPr>
          <w:t xml:space="preserve">ТК РФ, ст. 22.1–22.3</w:t>
        </w:r>
      </w:hyperlink>
    </w:p>
    <w:p>
      <w:pPr>
        <w:pStyle w:val="Heading1"/>
        <w:ind w:firstLine="0"/>
      </w:pPr>
      <w:r>
        <w:rPr>
          <w:rFonts w:ascii="Times New Roman" w:hAnsi="Times New Roman" w:eastAsia="Times New Roman"/>
          <w:b/>
          <w:i w:val="0"/>
          <w:color w:val="1F4E79"/>
          <w:sz w:val="28"/>
        </w:rPr>
        <w:t>1. Международный опыт цифровизации кадрового оборота и охраны труда</w:t>
      </w:r>
    </w:p>
    <w:p>
      <w:pPr>
        <w:pStyle w:val="Heading2"/>
        <w:ind w:firstLine="0"/>
      </w:pPr>
      <w:r>
        <w:rPr>
          <w:rFonts w:ascii="Times New Roman" w:hAnsi="Times New Roman" w:eastAsia="Times New Roman"/>
          <w:b/>
          <w:i w:val="0"/>
          <w:color w:val="1F4E79"/>
          <w:sz w:val="28"/>
        </w:rPr>
        <w:t>1.1. Две стороны вопроса</w:t>
      </w:r>
    </w:p>
    <w:p>
      <w:pPr>
        <w:spacing w:line="360" w:lineRule="auto"/>
        <w:ind w:firstLine="709"/>
      </w:pPr>
      <w:r>
        <w:rPr>
          <w:rFonts w:ascii="Times New Roman" w:hAnsi="Times New Roman" w:eastAsia="Times New Roman"/>
          <w:b w:val="0"/>
          <w:i w:val="0"/>
          <w:sz w:val="28"/>
        </w:rPr>
        <w:t>Как и в исходном разделе отчёта Сколково, международный опыт следует читать в двух слоях. Первый слой — отраслевые обязанности работодателя по охране труда (OSH/WSH): обучить, допустить, расследовать несчастный случай. Второй слой — юридическая сила электронной записи и подписи, которой эти обязанности фиксируются. Специального «закона об ЭДО в охране труда» почти нигде нет: электронный журнал, протокол обучения или ознакомление с ЛНА выводятся из общей рамки электронной подписи плюс трудового/охранительного закона.</w:t>
      </w:r>
    </w:p>
    <w:p>
      <w:pPr>
        <w:spacing w:line="360" w:lineRule="auto"/>
        <w:ind w:firstLine="709"/>
      </w:pPr>
      <w:r>
        <w:rPr>
          <w:rFonts w:ascii="Times New Roman" w:hAnsi="Times New Roman" w:eastAsia="Times New Roman"/>
          <w:b w:val="0"/>
          <w:i w:val="0"/>
          <w:sz w:val="28"/>
        </w:rPr>
        <w:t>Кадровый ЭДО в узком российском смысле (ст. 22.1–22.3 ТК РФ) за рубежом чаще не выделен отдельным институтом. Документы о приёме, переводе, ознакомлении, обучении живут в общем режиме electronic signature / electronic record, иногда с согласием работника и с точечными исключениями (увольнение, срочный договор, отдельные статутные формы).</w:t>
      </w:r>
    </w:p>
    <w:p>
      <w:pPr>
        <w:spacing w:before="40" w:after="160"/>
        <w:ind w:firstLine="0"/>
      </w:pPr>
      <w:r>
        <w:rPr>
          <w:rFonts w:ascii="Times New Roman" w:hAnsi="Times New Roman" w:eastAsia="Times New Roman"/>
          <w:b w:val="0"/>
          <w:i/>
          <w:color w:val="535353"/>
          <w:sz w:val="22"/>
        </w:rPr>
        <w:t xml:space="preserve">Проверить: </w:t>
      </w:r>
      <w:hyperlink r:id="rId11">
        <w:r>
          <w:rPr>
            <w:color w:val="0563C1"/>
            <w:u w:val="single"/>
            <w:sz w:val="22"/>
            <w:rFonts w:ascii="Calibri" w:hAnsi="Calibri"/>
          </w:rPr>
          <w:t xml:space="preserve">ТК РФ, ст. 22.1–22.3</w:t>
        </w:r>
      </w:hyperlink>
      <w:r>
        <w:rPr>
          <w:rFonts w:ascii="Times New Roman" w:hAnsi="Times New Roman" w:eastAsia="Times New Roman"/>
          <w:b w:val="0"/>
          <w:i w:val="0"/>
          <w:color w:val="535353"/>
          <w:sz w:val="22"/>
        </w:rPr>
        <w:t xml:space="preserve">  ·  </w:t>
      </w:r>
      <w:hyperlink r:id="rId9">
        <w:r>
          <w:rPr>
            <w:color w:val="0563C1"/>
            <w:u w:val="single"/>
            <w:sz w:val="22"/>
            <w:rFonts w:ascii="Calibri" w:hAnsi="Calibri"/>
          </w:rPr>
          <w:t xml:space="preserve">eIDAS (EU) 910/2014</w:t>
        </w:r>
      </w:hyperlink>
    </w:p>
    <w:p>
      <w:pPr>
        <w:pStyle w:val="Heading2"/>
        <w:ind w:firstLine="0"/>
      </w:pPr>
      <w:r>
        <w:rPr>
          <w:rFonts w:ascii="Times New Roman" w:hAnsi="Times New Roman" w:eastAsia="Times New Roman"/>
          <w:b/>
          <w:i w:val="0"/>
          <w:color w:val="1F4E79"/>
          <w:sz w:val="28"/>
        </w:rPr>
        <w:t>1.2. Регулирование электронного документооборота и подписи в зарубежных странах</w:t>
      </w:r>
    </w:p>
    <w:p>
      <w:pPr>
        <w:spacing w:line="360" w:lineRule="auto"/>
        <w:ind w:firstLine="709"/>
      </w:pPr>
      <w:r>
        <w:rPr>
          <w:rFonts w:ascii="Times New Roman" w:hAnsi="Times New Roman" w:eastAsia="Times New Roman"/>
          <w:b w:val="0"/>
          <w:i w:val="0"/>
          <w:sz w:val="28"/>
        </w:rPr>
        <w:t>В таблице 1 сохранён формат таблицы № 5 отчёта Сколково (страна — акт — правила подписи), но уточнены акты, иерархия подписи и именно кадровый контур. Электронная подпись, в том числе простая, имеет силу во всех рассмотренных юрисдикциях. Различия — не в «можно ли вообще подписать электронно», а в том, какая подпись чем считается и какие кадровые документы из электронной формы выведены.</w:t>
      </w:r>
    </w:p>
    <w:p>
      <w:pPr>
        <w:ind w:firstLine="0"/>
        <w:jc w:val="center"/>
      </w:pPr>
      <w:r>
        <w:rPr>
          <w:rFonts w:ascii="Times New Roman" w:hAnsi="Times New Roman" w:eastAsia="Times New Roman"/>
          <w:b w:val="0"/>
          <w:i/>
          <w:sz w:val="24"/>
        </w:rPr>
        <w:t>Таблица 1 — Законы об электронной подписи и кадровый оборот (актуализация 2026)</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fill="1F4E79" w:val="clear"/>
          </w:tcPr>
          <w:p>
            <w:r/>
            <w:r>
              <w:rPr>
                <w:rFonts w:ascii="Calibri" w:hAnsi="Calibri" w:eastAsia="Calibri"/>
                <w:b/>
                <w:i w:val="0"/>
                <w:color w:val="FFFFFF"/>
                <w:sz w:val="20"/>
              </w:rPr>
              <w:t>Страна</w:t>
            </w:r>
          </w:p>
        </w:tc>
        <w:tc>
          <w:tcPr>
            <w:tcW w:type="dxa" w:w="1871"/>
            <w:shd w:fill="1F4E79" w:val="clear"/>
          </w:tcPr>
          <w:p>
            <w:r/>
            <w:r>
              <w:rPr>
                <w:rFonts w:ascii="Calibri" w:hAnsi="Calibri" w:eastAsia="Calibri"/>
                <w:b/>
                <w:i w:val="0"/>
                <w:color w:val="FFFFFF"/>
                <w:sz w:val="20"/>
              </w:rPr>
              <w:t>Основной акт</w:t>
            </w:r>
          </w:p>
        </w:tc>
        <w:tc>
          <w:tcPr>
            <w:tcW w:type="dxa" w:w="1871"/>
            <w:shd w:fill="1F4E79" w:val="clear"/>
          </w:tcPr>
          <w:p>
            <w:r/>
            <w:r>
              <w:rPr>
                <w:rFonts w:ascii="Calibri" w:hAnsi="Calibri" w:eastAsia="Calibri"/>
                <w:b/>
                <w:i w:val="0"/>
                <w:color w:val="FFFFFF"/>
                <w:sz w:val="20"/>
              </w:rPr>
              <w:t>Модель подписи</w:t>
            </w:r>
          </w:p>
        </w:tc>
        <w:tc>
          <w:tcPr>
            <w:tcW w:type="dxa" w:w="1871"/>
            <w:shd w:fill="1F4E79" w:val="clear"/>
          </w:tcPr>
          <w:p>
            <w:r/>
            <w:r>
              <w:rPr>
                <w:rFonts w:ascii="Calibri" w:hAnsi="Calibri" w:eastAsia="Calibri"/>
                <w:b/>
                <w:i w:val="0"/>
                <w:color w:val="FFFFFF"/>
                <w:sz w:val="20"/>
              </w:rPr>
              <w:t>Кадровый / трудовой ЭДО</w:t>
            </w:r>
          </w:p>
        </w:tc>
        <w:tc>
          <w:tcPr>
            <w:tcW w:type="dxa" w:w="1871"/>
            <w:shd w:fill="1F4E79" w:val="clear"/>
          </w:tcPr>
          <w:p>
            <w:r/>
            <w:r>
              <w:rPr>
                <w:rFonts w:ascii="Calibri" w:hAnsi="Calibri" w:eastAsia="Calibri"/>
                <w:b/>
                <w:i w:val="0"/>
                <w:color w:val="FFFFFF"/>
                <w:sz w:val="20"/>
              </w:rPr>
              <w:t>Проверить</w:t>
            </w:r>
          </w:p>
        </w:tc>
      </w:tr>
      <w:tr>
        <w:tc>
          <w:tcPr>
            <w:tcW w:type="dxa" w:w="1871"/>
          </w:tcPr>
          <w:p>
            <w:r/>
            <w:r>
              <w:rPr>
                <w:rFonts w:ascii="Calibri" w:hAnsi="Calibri" w:eastAsia="Calibri"/>
                <w:b/>
                <w:i w:val="0"/>
                <w:sz w:val="20"/>
              </w:rPr>
              <w:t>ЕС</w:t>
            </w:r>
          </w:p>
        </w:tc>
        <w:tc>
          <w:tcPr>
            <w:tcW w:type="dxa" w:w="1871"/>
          </w:tcPr>
          <w:p>
            <w:r/>
            <w:r>
              <w:rPr>
                <w:rFonts w:ascii="Calibri" w:hAnsi="Calibri" w:eastAsia="Calibri"/>
                <w:b w:val="0"/>
                <w:i w:val="0"/>
                <w:sz w:val="20"/>
              </w:rPr>
              <w:t>eIDAS 910/2014; eIDAS 2.0 (2024/1183)</w:t>
            </w:r>
          </w:p>
        </w:tc>
        <w:tc>
          <w:tcPr>
            <w:tcW w:type="dxa" w:w="1871"/>
          </w:tcPr>
          <w:p>
            <w:r/>
            <w:r>
              <w:rPr>
                <w:rFonts w:ascii="Calibri" w:hAnsi="Calibri" w:eastAsia="Calibri"/>
                <w:b w:val="0"/>
                <w:i w:val="0"/>
                <w:sz w:val="20"/>
              </w:rPr>
              <w:t>SES → AES → QES; QES = собственноручная</w:t>
            </w:r>
          </w:p>
        </w:tc>
        <w:tc>
          <w:tcPr>
            <w:tcW w:type="dxa" w:w="1871"/>
          </w:tcPr>
          <w:p>
            <w:r/>
            <w:r>
              <w:rPr>
                <w:rFonts w:ascii="Calibri" w:hAnsi="Calibri" w:eastAsia="Calibri"/>
                <w:b w:val="0"/>
                <w:i w:val="0"/>
                <w:sz w:val="20"/>
              </w:rPr>
              <w:t>Общесоюзного кадрового ЭДО нет; трудовые документы — национальное право + eIDAS</w:t>
            </w:r>
          </w:p>
        </w:tc>
        <w:tc>
          <w:tcPr>
            <w:tcW w:type="dxa" w:w="1871"/>
          </w:tcPr>
          <w:p>
            <w:r/>
            <w:hyperlink r:id="rId9">
              <w:r>
                <w:rPr>
                  <w:color w:val="0563C1"/>
                  <w:u w:val="single"/>
                  <w:sz w:val="18"/>
                  <w:rFonts w:ascii="Calibri" w:hAnsi="Calibri"/>
                </w:rPr>
                <w:t xml:space="preserve">eIDAS (EU) 910/2014</w:t>
              </w:r>
            </w:hyperlink>
          </w:p>
        </w:tc>
      </w:tr>
      <w:tr>
        <w:tc>
          <w:tcPr>
            <w:tcW w:type="dxa" w:w="1871"/>
          </w:tcPr>
          <w:p>
            <w:r/>
            <w:r>
              <w:rPr>
                <w:rFonts w:ascii="Calibri" w:hAnsi="Calibri" w:eastAsia="Calibri"/>
                <w:b/>
                <w:i w:val="0"/>
                <w:sz w:val="20"/>
              </w:rPr>
              <w:t>Германия</w:t>
            </w:r>
          </w:p>
        </w:tc>
        <w:tc>
          <w:tcPr>
            <w:tcW w:type="dxa" w:w="1871"/>
          </w:tcPr>
          <w:p>
            <w:r/>
            <w:r>
              <w:rPr>
                <w:rFonts w:ascii="Calibri" w:hAnsi="Calibri" w:eastAsia="Calibri"/>
                <w:b w:val="0"/>
                <w:i w:val="0"/>
                <w:sz w:val="20"/>
              </w:rPr>
              <w:t>eIDAS; VDG; BGB §§ 126, 126a, 126b; BEG IV с 01.01.2025</w:t>
            </w:r>
          </w:p>
        </w:tc>
        <w:tc>
          <w:tcPr>
            <w:tcW w:type="dxa" w:w="1871"/>
          </w:tcPr>
          <w:p>
            <w:r/>
            <w:r>
              <w:rPr>
                <w:rFonts w:ascii="Calibri" w:hAnsi="Calibri" w:eastAsia="Calibri"/>
                <w:b w:val="0"/>
                <w:i w:val="0"/>
                <w:sz w:val="20"/>
              </w:rPr>
              <w:t>QES = Schriftform; Textform — e‑mail/PDF без QES</w:t>
            </w:r>
          </w:p>
        </w:tc>
        <w:tc>
          <w:tcPr>
            <w:tcW w:type="dxa" w:w="1871"/>
          </w:tcPr>
          <w:p>
            <w:r/>
            <w:r>
              <w:rPr>
                <w:rFonts w:ascii="Calibri" w:hAnsi="Calibri" w:eastAsia="Calibri"/>
                <w:b w:val="0"/>
                <w:i w:val="0"/>
                <w:sz w:val="20"/>
              </w:rPr>
              <w:t>С 2025 многие кадровые документы в Textform; увольнение и Aufhebungsvertrag — по‑прежнему Schriftform</w:t>
            </w:r>
          </w:p>
        </w:tc>
        <w:tc>
          <w:tcPr>
            <w:tcW w:type="dxa" w:w="1871"/>
          </w:tcPr>
          <w:p>
            <w:r/>
            <w:hyperlink r:id="rId12">
              <w:r>
                <w:rPr>
                  <w:color w:val="0563C1"/>
                  <w:u w:val="single"/>
                  <w:sz w:val="18"/>
                  <w:rFonts w:ascii="Calibri" w:hAnsi="Calibri"/>
                </w:rPr>
                <w:t xml:space="preserve">BGB § 126a</w:t>
              </w:r>
            </w:hyperlink>
          </w:p>
        </w:tc>
      </w:tr>
      <w:tr>
        <w:tc>
          <w:tcPr>
            <w:tcW w:type="dxa" w:w="1871"/>
          </w:tcPr>
          <w:p>
            <w:r/>
            <w:r>
              <w:rPr>
                <w:rFonts w:ascii="Calibri" w:hAnsi="Calibri" w:eastAsia="Calibri"/>
                <w:b/>
                <w:i w:val="0"/>
                <w:sz w:val="20"/>
              </w:rPr>
              <w:t>Франция</w:t>
            </w:r>
          </w:p>
        </w:tc>
        <w:tc>
          <w:tcPr>
            <w:tcW w:type="dxa" w:w="1871"/>
          </w:tcPr>
          <w:p>
            <w:r/>
            <w:r>
              <w:rPr>
                <w:rFonts w:ascii="Calibri" w:hAnsi="Calibri" w:eastAsia="Calibri"/>
                <w:b w:val="0"/>
                <w:i w:val="0"/>
                <w:sz w:val="20"/>
              </w:rPr>
              <w:t>CC ст. 1366–1367; eIDAS</w:t>
            </w:r>
          </w:p>
        </w:tc>
        <w:tc>
          <w:tcPr>
            <w:tcW w:type="dxa" w:w="1871"/>
          </w:tcPr>
          <w:p>
            <w:r/>
            <w:r>
              <w:rPr>
                <w:rFonts w:ascii="Calibri" w:hAnsi="Calibri" w:eastAsia="Calibri"/>
                <w:b w:val="0"/>
                <w:i w:val="0"/>
                <w:sz w:val="20"/>
              </w:rPr>
              <w:t>Презумпция равнозначности — только у QES; скан ≠ ЭП</w:t>
            </w:r>
          </w:p>
        </w:tc>
        <w:tc>
          <w:tcPr>
            <w:tcW w:type="dxa" w:w="1871"/>
          </w:tcPr>
          <w:p>
            <w:r/>
            <w:r>
              <w:rPr>
                <w:rFonts w:ascii="Calibri" w:hAnsi="Calibri" w:eastAsia="Calibri"/>
                <w:b w:val="0"/>
                <w:i w:val="0"/>
                <w:sz w:val="20"/>
              </w:rPr>
              <w:t>Кадровые документы — общий гражданский режим; суд смотрит вид подписи, не «оператора ЭДО»</w:t>
            </w:r>
          </w:p>
        </w:tc>
        <w:tc>
          <w:tcPr>
            <w:tcW w:type="dxa" w:w="1871"/>
          </w:tcPr>
          <w:p>
            <w:r/>
            <w:hyperlink r:id="rId9">
              <w:r>
                <w:rPr>
                  <w:color w:val="0563C1"/>
                  <w:u w:val="single"/>
                  <w:sz w:val="18"/>
                  <w:rFonts w:ascii="Calibri" w:hAnsi="Calibri"/>
                </w:rPr>
                <w:t xml:space="preserve">eIDAS (EU) 910/2014</w:t>
              </w:r>
            </w:hyperlink>
          </w:p>
        </w:tc>
      </w:tr>
      <w:tr>
        <w:tc>
          <w:tcPr>
            <w:tcW w:type="dxa" w:w="1871"/>
          </w:tcPr>
          <w:p>
            <w:r/>
            <w:r>
              <w:rPr>
                <w:rFonts w:ascii="Calibri" w:hAnsi="Calibri" w:eastAsia="Calibri"/>
                <w:b/>
                <w:i w:val="0"/>
                <w:sz w:val="20"/>
              </w:rPr>
              <w:t>Испания</w:t>
            </w:r>
          </w:p>
        </w:tc>
        <w:tc>
          <w:tcPr>
            <w:tcW w:type="dxa" w:w="1871"/>
          </w:tcPr>
          <w:p>
            <w:r/>
            <w:r>
              <w:rPr>
                <w:rFonts w:ascii="Calibri" w:hAnsi="Calibri" w:eastAsia="Calibri"/>
                <w:b w:val="0"/>
                <w:i w:val="0"/>
                <w:sz w:val="20"/>
              </w:rPr>
              <w:t>Ley 6/2020; LEC 326.4</w:t>
            </w:r>
          </w:p>
        </w:tc>
        <w:tc>
          <w:tcPr>
            <w:tcW w:type="dxa" w:w="1871"/>
          </w:tcPr>
          <w:p>
            <w:r/>
            <w:r>
              <w:rPr>
                <w:rFonts w:ascii="Calibri" w:hAnsi="Calibri" w:eastAsia="Calibri"/>
                <w:b w:val="0"/>
                <w:i w:val="0"/>
                <w:sz w:val="20"/>
              </w:rPr>
              <w:t>eIDAS + презумпция квалифицированного сервиса доверия</w:t>
            </w:r>
          </w:p>
        </w:tc>
        <w:tc>
          <w:tcPr>
            <w:tcW w:type="dxa" w:w="1871"/>
          </w:tcPr>
          <w:p>
            <w:r/>
            <w:r>
              <w:rPr>
                <w:rFonts w:ascii="Calibri" w:hAnsi="Calibri" w:eastAsia="Calibri"/>
                <w:b w:val="0"/>
                <w:i w:val="0"/>
                <w:sz w:val="20"/>
              </w:rPr>
              <w:t>Кадровый обмен электронно допустим; сила доказательства выше у квалифицированной услуги</w:t>
            </w:r>
          </w:p>
        </w:tc>
        <w:tc>
          <w:tcPr>
            <w:tcW w:type="dxa" w:w="1871"/>
          </w:tcPr>
          <w:p>
            <w:r/>
            <w:hyperlink r:id="rId9">
              <w:r>
                <w:rPr>
                  <w:color w:val="0563C1"/>
                  <w:u w:val="single"/>
                  <w:sz w:val="18"/>
                  <w:rFonts w:ascii="Calibri" w:hAnsi="Calibri"/>
                </w:rPr>
                <w:t xml:space="preserve">eIDAS (EU) 910/2014</w:t>
              </w:r>
            </w:hyperlink>
          </w:p>
        </w:tc>
      </w:tr>
      <w:tr>
        <w:tc>
          <w:tcPr>
            <w:tcW w:type="dxa" w:w="1871"/>
          </w:tcPr>
          <w:p>
            <w:r/>
            <w:r>
              <w:rPr>
                <w:rFonts w:ascii="Calibri" w:hAnsi="Calibri" w:eastAsia="Calibri"/>
                <w:b/>
                <w:i w:val="0"/>
                <w:sz w:val="20"/>
              </w:rPr>
              <w:t>Ирландия</w:t>
            </w:r>
          </w:p>
        </w:tc>
        <w:tc>
          <w:tcPr>
            <w:tcW w:type="dxa" w:w="1871"/>
          </w:tcPr>
          <w:p>
            <w:r/>
            <w:r>
              <w:rPr>
                <w:rFonts w:ascii="Calibri" w:hAnsi="Calibri" w:eastAsia="Calibri"/>
                <w:b w:val="0"/>
                <w:i w:val="0"/>
                <w:sz w:val="20"/>
              </w:rPr>
              <w:t>ECA 2000 s.9 + eIDAS</w:t>
            </w:r>
          </w:p>
        </w:tc>
        <w:tc>
          <w:tcPr>
            <w:tcW w:type="dxa" w:w="1871"/>
          </w:tcPr>
          <w:p>
            <w:r/>
            <w:r>
              <w:rPr>
                <w:rFonts w:ascii="Calibri" w:hAnsi="Calibri" w:eastAsia="Calibri"/>
                <w:b w:val="0"/>
                <w:i w:val="0"/>
                <w:sz w:val="20"/>
              </w:rPr>
              <w:t>Электронная подпись не отвергается из‑за формы</w:t>
            </w:r>
          </w:p>
        </w:tc>
        <w:tc>
          <w:tcPr>
            <w:tcW w:type="dxa" w:w="1871"/>
          </w:tcPr>
          <w:p>
            <w:r/>
            <w:r>
              <w:rPr>
                <w:rFonts w:ascii="Calibri" w:hAnsi="Calibri" w:eastAsia="Calibri"/>
                <w:b w:val="0"/>
                <w:i w:val="0"/>
                <w:sz w:val="20"/>
              </w:rPr>
              <w:t>Суды проверяют реальность ознакомления/обучения, а не носитель журнала</w:t>
            </w:r>
          </w:p>
        </w:tc>
        <w:tc>
          <w:tcPr>
            <w:tcW w:type="dxa" w:w="1871"/>
          </w:tcPr>
          <w:p>
            <w:r/>
            <w:hyperlink r:id="rId13">
              <w:r>
                <w:rPr>
                  <w:color w:val="0563C1"/>
                  <w:u w:val="single"/>
                  <w:sz w:val="18"/>
                  <w:rFonts w:ascii="Calibri" w:hAnsi="Calibri"/>
                </w:rPr>
                <w:t xml:space="preserve">ECA 2000</w:t>
              </w:r>
            </w:hyperlink>
          </w:p>
        </w:tc>
      </w:tr>
      <w:tr>
        <w:tc>
          <w:tcPr>
            <w:tcW w:type="dxa" w:w="1871"/>
          </w:tcPr>
          <w:p>
            <w:r/>
            <w:r>
              <w:rPr>
                <w:rFonts w:ascii="Calibri" w:hAnsi="Calibri" w:eastAsia="Calibri"/>
                <w:b/>
                <w:i w:val="0"/>
                <w:sz w:val="20"/>
              </w:rPr>
              <w:t>Великобритания</w:t>
            </w:r>
          </w:p>
        </w:tc>
        <w:tc>
          <w:tcPr>
            <w:tcW w:type="dxa" w:w="1871"/>
          </w:tcPr>
          <w:p>
            <w:r/>
            <w:r>
              <w:rPr>
                <w:rFonts w:ascii="Calibri" w:hAnsi="Calibri" w:eastAsia="Calibri"/>
                <w:b w:val="0"/>
                <w:i w:val="0"/>
                <w:sz w:val="20"/>
              </w:rPr>
              <w:t>ECA 2000 s.7; UK eIDAS; ETDA 2023</w:t>
            </w:r>
          </w:p>
        </w:tc>
        <w:tc>
          <w:tcPr>
            <w:tcW w:type="dxa" w:w="1871"/>
          </w:tcPr>
          <w:p>
            <w:r/>
            <w:r>
              <w:rPr>
                <w:rFonts w:ascii="Calibri" w:hAnsi="Calibri" w:eastAsia="Calibri"/>
                <w:b w:val="0"/>
                <w:i w:val="0"/>
                <w:sz w:val="20"/>
              </w:rPr>
              <w:t>SES/AES/QES сохранены; deeds строже</w:t>
            </w:r>
          </w:p>
        </w:tc>
        <w:tc>
          <w:tcPr>
            <w:tcW w:type="dxa" w:w="1871"/>
          </w:tcPr>
          <w:p>
            <w:r/>
            <w:r>
              <w:rPr>
                <w:rFonts w:ascii="Calibri" w:hAnsi="Calibri" w:eastAsia="Calibri"/>
                <w:b w:val="0"/>
                <w:i w:val="0"/>
                <w:sz w:val="20"/>
              </w:rPr>
              <w:t>Трудовые документы — доказательственный подход; нет федерального бумажного журнала</w:t>
            </w:r>
          </w:p>
        </w:tc>
        <w:tc>
          <w:tcPr>
            <w:tcW w:type="dxa" w:w="1871"/>
          </w:tcPr>
          <w:p>
            <w:r/>
            <w:hyperlink r:id="rId14">
              <w:r>
                <w:rPr>
                  <w:color w:val="0563C1"/>
                  <w:u w:val="single"/>
                  <w:sz w:val="18"/>
                  <w:rFonts w:ascii="Calibri" w:hAnsi="Calibri"/>
                </w:rPr>
                <w:t xml:space="preserve">ECA 2000 s.7</w:t>
              </w:r>
            </w:hyperlink>
          </w:p>
        </w:tc>
      </w:tr>
      <w:tr>
        <w:tc>
          <w:tcPr>
            <w:tcW w:type="dxa" w:w="1871"/>
          </w:tcPr>
          <w:p>
            <w:r/>
            <w:r>
              <w:rPr>
                <w:rFonts w:ascii="Calibri" w:hAnsi="Calibri" w:eastAsia="Calibri"/>
                <w:b/>
                <w:i w:val="0"/>
                <w:sz w:val="20"/>
              </w:rPr>
              <w:t>США</w:t>
            </w:r>
          </w:p>
        </w:tc>
        <w:tc>
          <w:tcPr>
            <w:tcW w:type="dxa" w:w="1871"/>
          </w:tcPr>
          <w:p>
            <w:r/>
            <w:r>
              <w:rPr>
                <w:rFonts w:ascii="Calibri" w:hAnsi="Calibri" w:eastAsia="Calibri"/>
                <w:b w:val="0"/>
                <w:i w:val="0"/>
                <w:sz w:val="20"/>
              </w:rPr>
              <w:t>ESIGN; UETA (штаты)</w:t>
            </w:r>
          </w:p>
        </w:tc>
        <w:tc>
          <w:tcPr>
            <w:tcW w:type="dxa" w:w="1871"/>
          </w:tcPr>
          <w:p>
            <w:r/>
            <w:r>
              <w:rPr>
                <w:rFonts w:ascii="Calibri" w:hAnsi="Calibri" w:eastAsia="Calibri"/>
                <w:b w:val="0"/>
                <w:i w:val="0"/>
                <w:sz w:val="20"/>
              </w:rPr>
              <w:t>Технологическая нейтральность, без обязательной QES</w:t>
            </w:r>
          </w:p>
        </w:tc>
        <w:tc>
          <w:tcPr>
            <w:tcW w:type="dxa" w:w="1871"/>
          </w:tcPr>
          <w:p>
            <w:r/>
            <w:r>
              <w:rPr>
                <w:rFonts w:ascii="Calibri" w:hAnsi="Calibri" w:eastAsia="Calibri"/>
                <w:b w:val="0"/>
                <w:i w:val="0"/>
                <w:sz w:val="20"/>
              </w:rPr>
              <w:t>Согласие + сохраняемость записи; electronic training records OSHA прямо допустимы</w:t>
            </w:r>
          </w:p>
        </w:tc>
        <w:tc>
          <w:tcPr>
            <w:tcW w:type="dxa" w:w="1871"/>
          </w:tcPr>
          <w:p>
            <w:r/>
            <w:hyperlink r:id="rId15">
              <w:r>
                <w:rPr>
                  <w:color w:val="0563C1"/>
                  <w:u w:val="single"/>
                  <w:sz w:val="18"/>
                  <w:rFonts w:ascii="Calibri" w:hAnsi="Calibri"/>
                </w:rPr>
                <w:t xml:space="preserve">ESIGN Act</w:t>
              </w:r>
            </w:hyperlink>
          </w:p>
        </w:tc>
      </w:tr>
      <w:tr>
        <w:tc>
          <w:tcPr>
            <w:tcW w:type="dxa" w:w="1871"/>
          </w:tcPr>
          <w:p>
            <w:r/>
            <w:r>
              <w:rPr>
                <w:rFonts w:ascii="Calibri" w:hAnsi="Calibri" w:eastAsia="Calibri"/>
                <w:b/>
                <w:i w:val="0"/>
                <w:sz w:val="20"/>
              </w:rPr>
              <w:t>Сингапур</w:t>
            </w:r>
          </w:p>
        </w:tc>
        <w:tc>
          <w:tcPr>
            <w:tcW w:type="dxa" w:w="1871"/>
          </w:tcPr>
          <w:p>
            <w:r/>
            <w:r>
              <w:rPr>
                <w:rFonts w:ascii="Calibri" w:hAnsi="Calibri" w:eastAsia="Calibri"/>
                <w:b w:val="0"/>
                <w:i w:val="0"/>
                <w:sz w:val="20"/>
              </w:rPr>
              <w:t>Electronic Transactions Act 2010</w:t>
            </w:r>
          </w:p>
        </w:tc>
        <w:tc>
          <w:tcPr>
            <w:tcW w:type="dxa" w:w="1871"/>
          </w:tcPr>
          <w:p>
            <w:r/>
            <w:r>
              <w:rPr>
                <w:rFonts w:ascii="Calibri" w:hAnsi="Calibri" w:eastAsia="Calibri"/>
                <w:b w:val="0"/>
                <w:i w:val="0"/>
                <w:sz w:val="20"/>
              </w:rPr>
              <w:t>ЭП + secure electronic signature с презумпциями</w:t>
            </w:r>
          </w:p>
        </w:tc>
        <w:tc>
          <w:tcPr>
            <w:tcW w:type="dxa" w:w="1871"/>
          </w:tcPr>
          <w:p>
            <w:r/>
            <w:r>
              <w:rPr>
                <w:rFonts w:ascii="Calibri" w:hAnsi="Calibri" w:eastAsia="Calibri"/>
                <w:b w:val="0"/>
                <w:i w:val="0"/>
                <w:sz w:val="20"/>
              </w:rPr>
              <w:t>Кадровые записи — общий ETA; обучение WSH проверяется через госреестр TRS</w:t>
            </w:r>
          </w:p>
        </w:tc>
        <w:tc>
          <w:tcPr>
            <w:tcW w:type="dxa" w:w="1871"/>
          </w:tcPr>
          <w:p>
            <w:r/>
            <w:hyperlink r:id="rId16">
              <w:r>
                <w:rPr>
                  <w:color w:val="0563C1"/>
                  <w:u w:val="single"/>
                  <w:sz w:val="18"/>
                  <w:rFonts w:ascii="Calibri" w:hAnsi="Calibri"/>
                </w:rPr>
                <w:t xml:space="preserve">ETA 2010</w:t>
              </w:r>
            </w:hyperlink>
          </w:p>
        </w:tc>
      </w:tr>
      <w:tr>
        <w:tc>
          <w:tcPr>
            <w:tcW w:type="dxa" w:w="1871"/>
          </w:tcPr>
          <w:p>
            <w:r/>
            <w:r>
              <w:rPr>
                <w:rFonts w:ascii="Calibri" w:hAnsi="Calibri" w:eastAsia="Calibri"/>
                <w:b/>
                <w:i w:val="0"/>
                <w:sz w:val="20"/>
              </w:rPr>
              <w:t>Китай</w:t>
            </w:r>
          </w:p>
        </w:tc>
        <w:tc>
          <w:tcPr>
            <w:tcW w:type="dxa" w:w="1871"/>
          </w:tcPr>
          <w:p>
            <w:r/>
            <w:r>
              <w:rPr>
                <w:rFonts w:ascii="Calibri" w:hAnsi="Calibri" w:eastAsia="Calibri"/>
                <w:b w:val="0"/>
                <w:i w:val="0"/>
                <w:sz w:val="20"/>
              </w:rPr>
              <w:t>Закон об электронной подписи (2004/2019)</w:t>
            </w:r>
          </w:p>
        </w:tc>
        <w:tc>
          <w:tcPr>
            <w:tcW w:type="dxa" w:w="1871"/>
          </w:tcPr>
          <w:p>
            <w:r/>
            <w:r>
              <w:rPr>
                <w:rFonts w:ascii="Calibri" w:hAnsi="Calibri" w:eastAsia="Calibri"/>
                <w:b w:val="0"/>
                <w:i w:val="0"/>
                <w:sz w:val="20"/>
              </w:rPr>
              <w:t>«Надёжная» ЭП ≈ собственноручная / печать</w:t>
            </w:r>
          </w:p>
        </w:tc>
        <w:tc>
          <w:tcPr>
            <w:tcW w:type="dxa" w:w="1871"/>
          </w:tcPr>
          <w:p>
            <w:r/>
            <w:r>
              <w:rPr>
                <w:rFonts w:ascii="Calibri" w:hAnsi="Calibri" w:eastAsia="Calibri"/>
                <w:b w:val="0"/>
                <w:i w:val="0"/>
                <w:sz w:val="20"/>
              </w:rPr>
              <w:t>Есть список исключений (семья, наследство, недвижимость); отдельного запрета кадрового ЭДО нет</w:t>
            </w:r>
          </w:p>
        </w:tc>
        <w:tc>
          <w:tcPr>
            <w:tcW w:type="dxa" w:w="1871"/>
          </w:tcPr>
          <w:p>
            <w:r/>
            <w:hyperlink r:id="rId17">
              <w:r>
                <w:rPr>
                  <w:color w:val="0563C1"/>
                  <w:u w:val="single"/>
                  <w:sz w:val="18"/>
                  <w:rFonts w:ascii="Calibri" w:hAnsi="Calibri"/>
                </w:rPr>
                <w:t xml:space="preserve">ESL КНР</w:t>
              </w:r>
            </w:hyperlink>
          </w:p>
        </w:tc>
      </w:tr>
      <w:tr>
        <w:tc>
          <w:tcPr>
            <w:tcW w:type="dxa" w:w="1871"/>
          </w:tcPr>
          <w:p>
            <w:r/>
            <w:r>
              <w:rPr>
                <w:rFonts w:ascii="Calibri" w:hAnsi="Calibri" w:eastAsia="Calibri"/>
                <w:b/>
                <w:i w:val="0"/>
                <w:sz w:val="20"/>
              </w:rPr>
              <w:t>Казахстан</w:t>
            </w:r>
          </w:p>
        </w:tc>
        <w:tc>
          <w:tcPr>
            <w:tcW w:type="dxa" w:w="1871"/>
          </w:tcPr>
          <w:p>
            <w:r/>
            <w:r>
              <w:rPr>
                <w:rFonts w:ascii="Calibri" w:hAnsi="Calibri" w:eastAsia="Calibri"/>
                <w:b w:val="0"/>
                <w:i w:val="0"/>
                <w:sz w:val="20"/>
              </w:rPr>
              <w:t>Закон РК № 370</w:t>
            </w:r>
          </w:p>
        </w:tc>
        <w:tc>
          <w:tcPr>
            <w:tcW w:type="dxa" w:w="1871"/>
          </w:tcPr>
          <w:p>
            <w:r/>
            <w:r>
              <w:rPr>
                <w:rFonts w:ascii="Calibri" w:hAnsi="Calibri" w:eastAsia="Calibri"/>
                <w:b w:val="0"/>
                <w:i w:val="0"/>
                <w:sz w:val="20"/>
              </w:rPr>
              <w:t>ЭЦП государственной PKI</w:t>
            </w:r>
          </w:p>
        </w:tc>
        <w:tc>
          <w:tcPr>
            <w:tcW w:type="dxa" w:w="1871"/>
          </w:tcPr>
          <w:p>
            <w:r/>
            <w:r>
              <w:rPr>
                <w:rFonts w:ascii="Calibri" w:hAnsi="Calibri" w:eastAsia="Calibri"/>
                <w:b w:val="0"/>
                <w:i w:val="0"/>
                <w:sz w:val="20"/>
              </w:rPr>
              <w:t>Электронный журнал инструктажа с ЭЦП прямо разрешён</w:t>
            </w:r>
          </w:p>
        </w:tc>
        <w:tc>
          <w:tcPr>
            <w:tcW w:type="dxa" w:w="1871"/>
          </w:tcPr>
          <w:p>
            <w:r/>
            <w:hyperlink r:id="rId18">
              <w:r>
                <w:rPr>
                  <w:color w:val="0563C1"/>
                  <w:u w:val="single"/>
                  <w:sz w:val="18"/>
                  <w:rFonts w:ascii="Calibri" w:hAnsi="Calibri"/>
                </w:rPr>
                <w:t xml:space="preserve">Закон РК № 370</w:t>
              </w:r>
            </w:hyperlink>
          </w:p>
        </w:tc>
      </w:tr>
      <w:tr>
        <w:tc>
          <w:tcPr>
            <w:tcW w:type="dxa" w:w="1871"/>
          </w:tcPr>
          <w:p>
            <w:r/>
            <w:r>
              <w:rPr>
                <w:rFonts w:ascii="Calibri" w:hAnsi="Calibri" w:eastAsia="Calibri"/>
                <w:b/>
                <w:i w:val="0"/>
                <w:sz w:val="20"/>
              </w:rPr>
              <w:t>Беларусь</w:t>
            </w:r>
          </w:p>
        </w:tc>
        <w:tc>
          <w:tcPr>
            <w:tcW w:type="dxa" w:w="1871"/>
          </w:tcPr>
          <w:p>
            <w:r/>
            <w:r>
              <w:rPr>
                <w:rFonts w:ascii="Calibri" w:hAnsi="Calibri" w:eastAsia="Calibri"/>
                <w:b w:val="0"/>
                <w:i w:val="0"/>
                <w:sz w:val="20"/>
              </w:rPr>
              <w:t>Закон 113‑З; Инструкция Минтруда № 175 п. 35</w:t>
            </w:r>
          </w:p>
        </w:tc>
        <w:tc>
          <w:tcPr>
            <w:tcW w:type="dxa" w:w="1871"/>
          </w:tcPr>
          <w:p>
            <w:r/>
            <w:r>
              <w:rPr>
                <w:rFonts w:ascii="Calibri" w:hAnsi="Calibri" w:eastAsia="Calibri"/>
                <w:b w:val="0"/>
                <w:i w:val="0"/>
                <w:sz w:val="20"/>
              </w:rPr>
              <w:t>ЭЦП ≈ собственноручная; для журнала ЭЦП у рабочего не обязательна</w:t>
            </w:r>
          </w:p>
        </w:tc>
        <w:tc>
          <w:tcPr>
            <w:tcW w:type="dxa" w:w="1871"/>
          </w:tcPr>
          <w:p>
            <w:r/>
            <w:r>
              <w:rPr>
                <w:rFonts w:ascii="Calibri" w:hAnsi="Calibri" w:eastAsia="Calibri"/>
                <w:b w:val="0"/>
                <w:i w:val="0"/>
                <w:sz w:val="20"/>
              </w:rPr>
              <w:t>Электронный журнал инструктажа: идентификация + время + защита от правок</w:t>
            </w:r>
          </w:p>
        </w:tc>
        <w:tc>
          <w:tcPr>
            <w:tcW w:type="dxa" w:w="1871"/>
          </w:tcPr>
          <w:p>
            <w:r/>
            <w:hyperlink r:id="rId19">
              <w:r>
                <w:rPr>
                  <w:color w:val="0563C1"/>
                  <w:u w:val="single"/>
                  <w:sz w:val="18"/>
                  <w:rFonts w:ascii="Calibri" w:hAnsi="Calibri"/>
                </w:rPr>
                <w:t xml:space="preserve">Инструкция Минтруда РБ № 175, п. 35</w:t>
              </w:r>
            </w:hyperlink>
          </w:p>
        </w:tc>
      </w:tr>
      <w:tr>
        <w:tc>
          <w:tcPr>
            <w:tcW w:type="dxa" w:w="1871"/>
          </w:tcPr>
          <w:p>
            <w:r/>
            <w:r>
              <w:rPr>
                <w:rFonts w:ascii="Calibri" w:hAnsi="Calibri" w:eastAsia="Calibri"/>
                <w:b/>
                <w:i w:val="0"/>
                <w:sz w:val="20"/>
              </w:rPr>
              <w:t>Сербия</w:t>
            </w:r>
          </w:p>
        </w:tc>
        <w:tc>
          <w:tcPr>
            <w:tcW w:type="dxa" w:w="1871"/>
          </w:tcPr>
          <w:p>
            <w:r/>
            <w:r>
              <w:rPr>
                <w:rFonts w:ascii="Calibri" w:hAnsi="Calibri" w:eastAsia="Calibri"/>
                <w:b w:val="0"/>
                <w:i w:val="0"/>
                <w:sz w:val="20"/>
              </w:rPr>
              <w:t>Закон об ЭП (eIDAS‑подобный); Правилник ОТ 5/2025</w:t>
            </w:r>
          </w:p>
        </w:tc>
        <w:tc>
          <w:tcPr>
            <w:tcW w:type="dxa" w:w="1871"/>
          </w:tcPr>
          <w:p>
            <w:r/>
            <w:r>
              <w:rPr>
                <w:rFonts w:ascii="Calibri" w:hAnsi="Calibri" w:eastAsia="Calibri"/>
                <w:b w:val="0"/>
                <w:i w:val="0"/>
                <w:sz w:val="20"/>
              </w:rPr>
              <w:t>Электронные формы ОТ — QES; Form 6 — бумага</w:t>
            </w:r>
          </w:p>
        </w:tc>
        <w:tc>
          <w:tcPr>
            <w:tcW w:type="dxa" w:w="1871"/>
          </w:tcPr>
          <w:p>
            <w:r/>
            <w:r>
              <w:rPr>
                <w:rFonts w:ascii="Calibri" w:hAnsi="Calibri" w:eastAsia="Calibri"/>
                <w:b w:val="0"/>
                <w:i w:val="0"/>
                <w:sz w:val="20"/>
              </w:rPr>
              <w:t>Точечный бумажный остров: учёт обученных (Form 6), остальные формы ОТ электронно</w:t>
            </w:r>
          </w:p>
        </w:tc>
        <w:tc>
          <w:tcPr>
            <w:tcW w:type="dxa" w:w="1871"/>
          </w:tcPr>
          <w:p>
            <w:r/>
            <w:hyperlink r:id="rId20">
              <w:r>
                <w:rPr>
                  <w:color w:val="0563C1"/>
                  <w:u w:val="single"/>
                  <w:sz w:val="18"/>
                  <w:rFonts w:ascii="Calibri" w:hAnsi="Calibri"/>
                </w:rPr>
                <w:t xml:space="preserve">Закон о БЗР РС</w:t>
              </w:r>
            </w:hyperlink>
          </w:p>
        </w:tc>
      </w:tr>
      <w:tr>
        <w:tc>
          <w:tcPr>
            <w:tcW w:type="dxa" w:w="1871"/>
          </w:tcPr>
          <w:p>
            <w:r/>
            <w:r>
              <w:rPr>
                <w:rFonts w:ascii="Calibri" w:hAnsi="Calibri" w:eastAsia="Calibri"/>
                <w:b/>
                <w:i w:val="0"/>
                <w:sz w:val="20"/>
              </w:rPr>
              <w:t>Кения</w:t>
            </w:r>
          </w:p>
        </w:tc>
        <w:tc>
          <w:tcPr>
            <w:tcW w:type="dxa" w:w="1871"/>
          </w:tcPr>
          <w:p>
            <w:r/>
            <w:r>
              <w:rPr>
                <w:rFonts w:ascii="Calibri" w:hAnsi="Calibri" w:eastAsia="Calibri"/>
                <w:b w:val="0"/>
                <w:i w:val="0"/>
                <w:sz w:val="20"/>
              </w:rPr>
              <w:t>KICA s. 83P; Evidence Act s. 106B</w:t>
            </w:r>
          </w:p>
        </w:tc>
        <w:tc>
          <w:tcPr>
            <w:tcW w:type="dxa" w:w="1871"/>
          </w:tcPr>
          <w:p>
            <w:r/>
            <w:r>
              <w:rPr>
                <w:rFonts w:ascii="Calibri" w:hAnsi="Calibri" w:eastAsia="Calibri"/>
                <w:b w:val="0"/>
                <w:i w:val="0"/>
                <w:sz w:val="20"/>
              </w:rPr>
              <w:t>Advanced e‑signature = wet ink, но вход в суд через 106B</w:t>
            </w:r>
          </w:p>
        </w:tc>
        <w:tc>
          <w:tcPr>
            <w:tcW w:type="dxa" w:w="1871"/>
          </w:tcPr>
          <w:p>
            <w:r/>
            <w:r>
              <w:rPr>
                <w:rFonts w:ascii="Calibri" w:hAnsi="Calibri" w:eastAsia="Calibri"/>
                <w:b w:val="0"/>
                <w:i w:val="0"/>
                <w:sz w:val="20"/>
              </w:rPr>
              <w:t>Отраслевой закон ОТ молчит об e‑журнале; без сертификата 106B запись могут снять</w:t>
            </w:r>
          </w:p>
        </w:tc>
        <w:tc>
          <w:tcPr>
            <w:tcW w:type="dxa" w:w="1871"/>
          </w:tcPr>
          <w:p>
            <w:r/>
            <w:hyperlink r:id="rId21">
              <w:r>
                <w:rPr>
                  <w:color w:val="0563C1"/>
                  <w:u w:val="single"/>
                  <w:sz w:val="18"/>
                  <w:rFonts w:ascii="Calibri" w:hAnsi="Calibri"/>
                </w:rPr>
                <w:t xml:space="preserve">Evidence Act Cap 80</w:t>
              </w:r>
            </w:hyperlink>
          </w:p>
        </w:tc>
      </w:tr>
      <w:tr>
        <w:tc>
          <w:tcPr>
            <w:tcW w:type="dxa" w:w="1871"/>
          </w:tcPr>
          <w:p>
            <w:r/>
            <w:r>
              <w:rPr>
                <w:rFonts w:ascii="Calibri" w:hAnsi="Calibri" w:eastAsia="Calibri"/>
                <w:b/>
                <w:i w:val="0"/>
                <w:sz w:val="20"/>
              </w:rPr>
              <w:t>Россия</w:t>
            </w:r>
          </w:p>
        </w:tc>
        <w:tc>
          <w:tcPr>
            <w:tcW w:type="dxa" w:w="1871"/>
          </w:tcPr>
          <w:p>
            <w:r/>
            <w:r>
              <w:rPr>
                <w:rFonts w:ascii="Calibri" w:hAnsi="Calibri" w:eastAsia="Calibri"/>
                <w:b w:val="0"/>
                <w:i w:val="0"/>
                <w:sz w:val="20"/>
              </w:rPr>
              <w:t>63‑ФЗ; ст. 22.1–22.3 ТК; ПП 2464</w:t>
            </w:r>
          </w:p>
        </w:tc>
        <w:tc>
          <w:tcPr>
            <w:tcW w:type="dxa" w:w="1871"/>
          </w:tcPr>
          <w:p>
            <w:r/>
            <w:r>
              <w:rPr>
                <w:rFonts w:ascii="Calibri" w:hAnsi="Calibri" w:eastAsia="Calibri"/>
                <w:b w:val="0"/>
                <w:i w:val="0"/>
                <w:sz w:val="20"/>
              </w:rPr>
              <w:t>ПЭП / УНЭП / УКЭП</w:t>
            </w:r>
          </w:p>
        </w:tc>
        <w:tc>
          <w:tcPr>
            <w:tcW w:type="dxa" w:w="1871"/>
          </w:tcPr>
          <w:p>
            <w:r/>
            <w:r>
              <w:rPr>
                <w:rFonts w:ascii="Calibri" w:hAnsi="Calibri" w:eastAsia="Calibri"/>
                <w:b w:val="0"/>
                <w:i w:val="0"/>
                <w:sz w:val="20"/>
              </w:rPr>
              <w:t>Отдельный кадровый ЭДО с согласием работника. Ч. 3 ст. 22.1: журналы инструктажа и акты НС — вне КЭДО</w:t>
            </w:r>
          </w:p>
        </w:tc>
        <w:tc>
          <w:tcPr>
            <w:tcW w:type="dxa" w:w="1871"/>
          </w:tcPr>
          <w:p>
            <w:r/>
            <w:hyperlink r:id="rId11">
              <w:r>
                <w:rPr>
                  <w:color w:val="0563C1"/>
                  <w:u w:val="single"/>
                  <w:sz w:val="18"/>
                  <w:rFonts w:ascii="Calibri" w:hAnsi="Calibri"/>
                </w:rPr>
                <w:t xml:space="preserve">ТК РФ, ст. 22.1–22.3</w:t>
              </w:r>
            </w:hyperlink>
          </w:p>
        </w:tc>
      </w:tr>
    </w:tbl>
    <w:p/>
    <w:p>
      <w:pPr>
        <w:spacing w:line="360" w:lineRule="auto"/>
        <w:ind w:firstLine="709"/>
      </w:pPr>
      <w:r>
        <w:rPr>
          <w:rFonts w:ascii="Times New Roman" w:hAnsi="Times New Roman" w:eastAsia="Times New Roman"/>
          <w:b w:val="0"/>
          <w:i w:val="0"/>
          <w:sz w:val="28"/>
        </w:rPr>
        <w:t>Вывод, который в 2023 г. сделал отчёт Сколково, сохраняется и усиливается: электронные подписи, включая простые, широко применяются в трудовых отношениях. Жёсткого общесистемного запрета электронной формы в охране труда среди 13 юрисдикций нет. Индивидуальные барьеры точечные: Form 6 в Сербии, сертификат 106B в Кении, Schriftform для увольнения в Германии, ч. 3 ст. 22.1 ТК в России. Именно российский запрет носителя для журналов инструктажа и актов НС уникален по охвату.</w:t>
      </w:r>
    </w:p>
    <w:p>
      <w:pPr>
        <w:spacing w:before="40" w:after="160"/>
        <w:ind w:firstLine="0"/>
      </w:pPr>
      <w:r>
        <w:rPr>
          <w:rFonts w:ascii="Times New Roman" w:hAnsi="Times New Roman" w:eastAsia="Times New Roman"/>
          <w:b w:val="0"/>
          <w:i/>
          <w:color w:val="535353"/>
          <w:sz w:val="22"/>
        </w:rPr>
        <w:t xml:space="preserve">Проверить: </w:t>
      </w:r>
      <w:hyperlink r:id="rId11">
        <w:r>
          <w:rPr>
            <w:color w:val="0563C1"/>
            <w:u w:val="single"/>
            <w:sz w:val="22"/>
            <w:rFonts w:ascii="Calibri" w:hAnsi="Calibri"/>
          </w:rPr>
          <w:t xml:space="preserve">ТК РФ, ст. 22.1–22.3</w:t>
        </w:r>
      </w:hyperlink>
      <w:r>
        <w:rPr>
          <w:rFonts w:ascii="Times New Roman" w:hAnsi="Times New Roman" w:eastAsia="Times New Roman"/>
          <w:b w:val="0"/>
          <w:i w:val="0"/>
          <w:color w:val="535353"/>
          <w:sz w:val="22"/>
        </w:rPr>
        <w:t xml:space="preserve">  ·  </w:t>
      </w:r>
      <w:hyperlink r:id="rId19">
        <w:r>
          <w:rPr>
            <w:color w:val="0563C1"/>
            <w:u w:val="single"/>
            <w:sz w:val="22"/>
            <w:rFonts w:ascii="Calibri" w:hAnsi="Calibri"/>
          </w:rPr>
          <w:t xml:space="preserve">Инструкция Минтруда РБ № 175, п. 35</w:t>
        </w:r>
      </w:hyperlink>
      <w:r>
        <w:rPr>
          <w:rFonts w:ascii="Times New Roman" w:hAnsi="Times New Roman" w:eastAsia="Times New Roman"/>
          <w:b w:val="0"/>
          <w:i w:val="0"/>
          <w:color w:val="535353"/>
          <w:sz w:val="22"/>
        </w:rPr>
        <w:t xml:space="preserve">  ·  </w:t>
      </w:r>
      <w:hyperlink r:id="rId22">
        <w:r>
          <w:rPr>
            <w:color w:val="0563C1"/>
            <w:u w:val="single"/>
            <w:sz w:val="22"/>
            <w:rFonts w:ascii="Calibri" w:hAnsi="Calibri"/>
          </w:rPr>
          <w:t xml:space="preserve">OSHA LOI 14.08.1997</w:t>
        </w:r>
      </w:hyperlink>
    </w:p>
    <w:p>
      <w:pPr>
        <w:pStyle w:val="Heading1"/>
        <w:ind w:firstLine="0"/>
      </w:pPr>
      <w:r>
        <w:rPr>
          <w:rFonts w:ascii="Times New Roman" w:hAnsi="Times New Roman" w:eastAsia="Times New Roman"/>
          <w:b/>
          <w:i w:val="0"/>
          <w:color w:val="1F4E79"/>
          <w:sz w:val="28"/>
        </w:rPr>
        <w:t>2. Электронный документооборот и способы его реализации через электронные подписи</w:t>
      </w:r>
    </w:p>
    <w:p>
      <w:pPr>
        <w:pStyle w:val="Heading2"/>
        <w:ind w:firstLine="0"/>
      </w:pPr>
      <w:r>
        <w:rPr>
          <w:rFonts w:ascii="Times New Roman" w:hAnsi="Times New Roman" w:eastAsia="Times New Roman"/>
          <w:b/>
          <w:i w:val="0"/>
          <w:color w:val="1F4E79"/>
          <w:sz w:val="28"/>
        </w:rPr>
        <w:t>2.1. Понятие электронного документа</w:t>
      </w:r>
    </w:p>
    <w:p>
      <w:pPr>
        <w:spacing w:line="360" w:lineRule="auto"/>
        <w:ind w:firstLine="709"/>
      </w:pPr>
      <w:r>
        <w:rPr>
          <w:rFonts w:ascii="Times New Roman" w:hAnsi="Times New Roman" w:eastAsia="Times New Roman"/>
          <w:b w:val="0"/>
          <w:i w:val="0"/>
          <w:sz w:val="28"/>
        </w:rPr>
        <w:t>Электронный документ — документированная информация в электронной форме, пригодная для восприятия человеком с использованием ЭВМ, передачи по сетям или обработки в информационных системах (п. 11.1 ст. 2 Федерального закона от 27.07.2006 № 149‑ФЗ). За рубежом исходная единица чаще другая: electronic record, electronic signature, electronic message, trust service. Закон регулирует не отрасль «операторов ЭДО», а условия, при которых электронная форма не лишает документ силы.</w:t>
      </w:r>
    </w:p>
    <w:p>
      <w:pPr>
        <w:spacing w:before="40" w:after="160"/>
        <w:ind w:firstLine="0"/>
      </w:pPr>
      <w:r>
        <w:rPr>
          <w:rFonts w:ascii="Times New Roman" w:hAnsi="Times New Roman" w:eastAsia="Times New Roman"/>
          <w:b w:val="0"/>
          <w:i/>
          <w:color w:val="535353"/>
          <w:sz w:val="22"/>
        </w:rPr>
        <w:t xml:space="preserve">Проверить: </w:t>
      </w:r>
      <w:hyperlink r:id="rId23">
        <w:r>
          <w:rPr>
            <w:color w:val="0563C1"/>
            <w:u w:val="single"/>
            <w:sz w:val="22"/>
            <w:rFonts w:ascii="Calibri" w:hAnsi="Calibri"/>
          </w:rPr>
          <w:t xml:space="preserve">149‑ФЗ об информации</w:t>
        </w:r>
      </w:hyperlink>
      <w:r>
        <w:rPr>
          <w:rFonts w:ascii="Times New Roman" w:hAnsi="Times New Roman" w:eastAsia="Times New Roman"/>
          <w:b w:val="0"/>
          <w:i w:val="0"/>
          <w:color w:val="535353"/>
          <w:sz w:val="22"/>
        </w:rPr>
        <w:t xml:space="preserve">  ·  </w:t>
      </w:r>
      <w:hyperlink r:id="rId9">
        <w:r>
          <w:rPr>
            <w:color w:val="0563C1"/>
            <w:u w:val="single"/>
            <w:sz w:val="22"/>
            <w:rFonts w:ascii="Calibri" w:hAnsi="Calibri"/>
          </w:rPr>
          <w:t xml:space="preserve">eIDAS (EU) 910/2014</w:t>
        </w:r>
      </w:hyperlink>
    </w:p>
    <w:p>
      <w:pPr>
        <w:spacing w:line="360" w:lineRule="auto"/>
        <w:ind w:firstLine="709"/>
      </w:pPr>
      <w:r>
        <w:rPr>
          <w:rFonts w:ascii="Times New Roman" w:hAnsi="Times New Roman" w:eastAsia="Times New Roman"/>
          <w:b w:val="0"/>
          <w:i w:val="0"/>
          <w:sz w:val="28"/>
        </w:rPr>
        <w:t>Электронный документооборот обозначает сразу несколько контуров, и кадровый — только один из них:</w:t>
      </w:r>
    </w:p>
    <w:p>
      <w:pPr>
        <w:pStyle w:val="ListBullet"/>
        <w:spacing w:line="276" w:lineRule="auto"/>
      </w:pPr>
      <w:r>
        <w:rPr>
          <w:rFonts w:ascii="Times New Roman" w:hAnsi="Times New Roman" w:eastAsia="Times New Roman"/>
          <w:b w:val="0"/>
          <w:i w:val="0"/>
          <w:sz w:val="28"/>
        </w:rPr>
        <w:t>внутренний (в пределах компании): бухгалтерский, управленческий, архивный, кадровый;</w:t>
      </w:r>
    </w:p>
    <w:p>
      <w:pPr>
        <w:pStyle w:val="ListBullet"/>
        <w:spacing w:line="276" w:lineRule="auto"/>
      </w:pPr>
      <w:r>
        <w:rPr>
          <w:rFonts w:ascii="Times New Roman" w:hAnsi="Times New Roman" w:eastAsia="Times New Roman"/>
          <w:b w:val="0"/>
          <w:i w:val="0"/>
          <w:sz w:val="28"/>
        </w:rPr>
        <w:t>межкорпоративный (внешний) через оператора ЭДО: договоры, УПД, счета‑фактуры;</w:t>
      </w:r>
    </w:p>
    <w:p>
      <w:pPr>
        <w:pStyle w:val="ListBullet"/>
        <w:spacing w:line="276" w:lineRule="auto"/>
      </w:pPr>
      <w:r>
        <w:rPr>
          <w:rFonts w:ascii="Times New Roman" w:hAnsi="Times New Roman" w:eastAsia="Times New Roman"/>
          <w:b w:val="0"/>
          <w:i w:val="0"/>
          <w:sz w:val="28"/>
        </w:rPr>
        <w:t>с государственными органами: отчётность в ФНС, реестры обученных, подача сведений о НС.</w:t>
      </w:r>
    </w:p>
    <w:p>
      <w:pPr>
        <w:spacing w:line="360" w:lineRule="auto"/>
        <w:ind w:firstLine="709"/>
      </w:pPr>
      <w:r>
        <w:rPr>
          <w:rFonts w:ascii="Times New Roman" w:hAnsi="Times New Roman" w:eastAsia="Times New Roman"/>
          <w:b w:val="0"/>
          <w:i w:val="0"/>
          <w:sz w:val="28"/>
        </w:rPr>
        <w:t>Для электронного документа характерны те же четыре свойства, что фиксировал отчёт Сколково: аутентичность, достоверность, целостность, пригодность для последующего использования. Без воспроизводимости записи кадровый ЭДО слабее бумаги: через годы (для журналов инструктажа в РФ — 45 лет) файл у вендора LMS может исчезнуть вместе с договором.</w:t>
      </w:r>
    </w:p>
    <w:p>
      <w:pPr>
        <w:pStyle w:val="Heading2"/>
        <w:ind w:firstLine="0"/>
      </w:pPr>
      <w:r>
        <w:rPr>
          <w:rFonts w:ascii="Times New Roman" w:hAnsi="Times New Roman" w:eastAsia="Times New Roman"/>
          <w:b/>
          <w:i w:val="0"/>
          <w:color w:val="1F4E79"/>
          <w:sz w:val="28"/>
        </w:rPr>
        <w:t>2.2. Виды электронных подписей: общее и национальное</w:t>
      </w:r>
    </w:p>
    <w:p>
      <w:pPr>
        <w:spacing w:line="360" w:lineRule="auto"/>
        <w:ind w:firstLine="709"/>
      </w:pPr>
      <w:r>
        <w:rPr>
          <w:rFonts w:ascii="Times New Roman" w:hAnsi="Times New Roman" w:eastAsia="Times New Roman"/>
          <w:b w:val="0"/>
          <w:i w:val="0"/>
          <w:sz w:val="28"/>
        </w:rPr>
        <w:t>На территории Российской Федерации виды подписи задаёт Федеральный закон от 06.04.2011 № 63‑ФЗ: простая (ПЭП), усиленная неквалифицированная (УНЭП) и усиленная квалифицированная (УКЭП). Это функциональный аналог европейской лестницы SES / AES / QES. Путаница «НЭП / КЭП» в прикладных текстах — те же УНЭП и УКЭП.</w:t>
      </w:r>
    </w:p>
    <w:p>
      <w:pPr>
        <w:spacing w:before="40" w:after="160"/>
        <w:ind w:firstLine="0"/>
      </w:pPr>
      <w:r>
        <w:rPr>
          <w:rFonts w:ascii="Times New Roman" w:hAnsi="Times New Roman" w:eastAsia="Times New Roman"/>
          <w:b w:val="0"/>
          <w:i/>
          <w:color w:val="535353"/>
          <w:sz w:val="22"/>
        </w:rPr>
        <w:t xml:space="preserve">Проверить: </w:t>
      </w:r>
      <w:hyperlink r:id="rId10">
        <w:r>
          <w:rPr>
            <w:color w:val="0563C1"/>
            <w:u w:val="single"/>
            <w:sz w:val="22"/>
            <w:rFonts w:ascii="Calibri" w:hAnsi="Calibri"/>
          </w:rPr>
          <w:t xml:space="preserve">63‑ФЗ об электронной подписи</w:t>
        </w:r>
      </w:hyperlink>
    </w:p>
    <w:p>
      <w:pPr>
        <w:ind w:firstLine="0"/>
        <w:jc w:val="center"/>
      </w:pPr>
      <w:r>
        <w:rPr>
          <w:rFonts w:ascii="Times New Roman" w:hAnsi="Times New Roman" w:eastAsia="Times New Roman"/>
          <w:b w:val="0"/>
          <w:i/>
          <w:sz w:val="24"/>
        </w:rPr>
        <w:t>Таблица 2 — Соответствие видов подписи и условия равенства собственноручной</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1F4E79" w:val="clear"/>
          </w:tcPr>
          <w:p>
            <w:r/>
            <w:r>
              <w:rPr>
                <w:rFonts w:ascii="Calibri" w:hAnsi="Calibri" w:eastAsia="Calibri"/>
                <w:b/>
                <w:i w:val="0"/>
                <w:color w:val="FFFFFF"/>
                <w:sz w:val="20"/>
              </w:rPr>
              <w:t>Вид</w:t>
            </w:r>
          </w:p>
        </w:tc>
        <w:tc>
          <w:tcPr>
            <w:tcW w:type="dxa" w:w="2339"/>
            <w:shd w:fill="1F4E79" w:val="clear"/>
          </w:tcPr>
          <w:p>
            <w:r/>
            <w:r>
              <w:rPr>
                <w:rFonts w:ascii="Calibri" w:hAnsi="Calibri" w:eastAsia="Calibri"/>
                <w:b/>
                <w:i w:val="0"/>
                <w:color w:val="FFFFFF"/>
                <w:sz w:val="20"/>
              </w:rPr>
              <w:t>Как создаётся</w:t>
            </w:r>
          </w:p>
        </w:tc>
        <w:tc>
          <w:tcPr>
            <w:tcW w:type="dxa" w:w="2339"/>
            <w:shd w:fill="1F4E79" w:val="clear"/>
          </w:tcPr>
          <w:p>
            <w:r/>
            <w:r>
              <w:rPr>
                <w:rFonts w:ascii="Calibri" w:hAnsi="Calibri" w:eastAsia="Calibri"/>
                <w:b/>
                <w:i w:val="0"/>
                <w:color w:val="FFFFFF"/>
                <w:sz w:val="20"/>
              </w:rPr>
              <w:t>Когда равна собственноручной</w:t>
            </w:r>
          </w:p>
        </w:tc>
        <w:tc>
          <w:tcPr>
            <w:tcW w:type="dxa" w:w="2339"/>
            <w:shd w:fill="1F4E79" w:val="clear"/>
          </w:tcPr>
          <w:p>
            <w:r/>
            <w:r>
              <w:rPr>
                <w:rFonts w:ascii="Calibri" w:hAnsi="Calibri" w:eastAsia="Calibri"/>
                <w:b/>
                <w:i w:val="0"/>
                <w:color w:val="FFFFFF"/>
                <w:sz w:val="20"/>
              </w:rPr>
              <w:t>Типичное применение в кадрах</w:t>
            </w:r>
          </w:p>
        </w:tc>
      </w:tr>
      <w:tr>
        <w:tc>
          <w:tcPr>
            <w:tcW w:type="dxa" w:w="2339"/>
          </w:tcPr>
          <w:p>
            <w:r/>
            <w:r>
              <w:rPr>
                <w:rFonts w:ascii="Calibri" w:hAnsi="Calibri" w:eastAsia="Calibri"/>
                <w:b/>
                <w:i w:val="0"/>
                <w:sz w:val="20"/>
              </w:rPr>
              <w:t>ПЭП ≈ SES</w:t>
            </w:r>
          </w:p>
        </w:tc>
        <w:tc>
          <w:tcPr>
            <w:tcW w:type="dxa" w:w="2339"/>
          </w:tcPr>
          <w:p>
            <w:r/>
            <w:r>
              <w:rPr>
                <w:rFonts w:ascii="Calibri" w:hAnsi="Calibri" w:eastAsia="Calibri"/>
                <w:b w:val="0"/>
                <w:i w:val="0"/>
                <w:sz w:val="20"/>
              </w:rPr>
              <w:t>Коды, пароли, SMS, клик в учётной записи</w:t>
            </w:r>
          </w:p>
        </w:tc>
        <w:tc>
          <w:tcPr>
            <w:tcW w:type="dxa" w:w="2339"/>
          </w:tcPr>
          <w:p>
            <w:r/>
            <w:r>
              <w:rPr>
                <w:rFonts w:ascii="Calibri" w:hAnsi="Calibri" w:eastAsia="Calibri"/>
                <w:b w:val="0"/>
                <w:i w:val="0"/>
                <w:sz w:val="20"/>
              </w:rPr>
              <w:t>Если закон или соглашение сторон так устанавливает (в РФ — ст. 22.2–22.3 ТК + ЛНА)</w:t>
            </w:r>
          </w:p>
        </w:tc>
        <w:tc>
          <w:tcPr>
            <w:tcW w:type="dxa" w:w="2339"/>
          </w:tcPr>
          <w:p>
            <w:r/>
            <w:r>
              <w:rPr>
                <w:rFonts w:ascii="Calibri" w:hAnsi="Calibri" w:eastAsia="Calibri"/>
                <w:b w:val="0"/>
                <w:i w:val="0"/>
                <w:sz w:val="20"/>
              </w:rPr>
              <w:t>Ознакомление работника, массовый кадровый поток</w:t>
            </w:r>
          </w:p>
        </w:tc>
      </w:tr>
      <w:tr>
        <w:tc>
          <w:tcPr>
            <w:tcW w:type="dxa" w:w="2339"/>
          </w:tcPr>
          <w:p>
            <w:r/>
            <w:r>
              <w:rPr>
                <w:rFonts w:ascii="Calibri" w:hAnsi="Calibri" w:eastAsia="Calibri"/>
                <w:b/>
                <w:i w:val="0"/>
                <w:sz w:val="20"/>
              </w:rPr>
              <w:t>УНЭП ≈ AES</w:t>
            </w:r>
          </w:p>
        </w:tc>
        <w:tc>
          <w:tcPr>
            <w:tcW w:type="dxa" w:w="2339"/>
          </w:tcPr>
          <w:p>
            <w:r/>
            <w:r>
              <w:rPr>
                <w:rFonts w:ascii="Calibri" w:hAnsi="Calibri" w:eastAsia="Calibri"/>
                <w:b w:val="0"/>
                <w:i w:val="0"/>
                <w:sz w:val="20"/>
              </w:rPr>
              <w:t>Криптография, ключ, без квалифицированного сертификата</w:t>
            </w:r>
          </w:p>
        </w:tc>
        <w:tc>
          <w:tcPr>
            <w:tcW w:type="dxa" w:w="2339"/>
          </w:tcPr>
          <w:p>
            <w:r/>
            <w:r>
              <w:rPr>
                <w:rFonts w:ascii="Calibri" w:hAnsi="Calibri" w:eastAsia="Calibri"/>
                <w:b w:val="0"/>
                <w:i w:val="0"/>
                <w:sz w:val="20"/>
              </w:rPr>
              <w:t>Нужно соглашение о правилах и взаимном признании</w:t>
            </w:r>
          </w:p>
        </w:tc>
        <w:tc>
          <w:tcPr>
            <w:tcW w:type="dxa" w:w="2339"/>
          </w:tcPr>
          <w:p>
            <w:r/>
            <w:r>
              <w:rPr>
                <w:rFonts w:ascii="Calibri" w:hAnsi="Calibri" w:eastAsia="Calibri"/>
                <w:b w:val="0"/>
                <w:i w:val="0"/>
                <w:sz w:val="20"/>
              </w:rPr>
              <w:t>Кадровые заявления, внутренний КЭДО (кейс «Винлаб»)</w:t>
            </w:r>
          </w:p>
        </w:tc>
      </w:tr>
      <w:tr>
        <w:tc>
          <w:tcPr>
            <w:tcW w:type="dxa" w:w="2339"/>
          </w:tcPr>
          <w:p>
            <w:r/>
            <w:r>
              <w:rPr>
                <w:rFonts w:ascii="Calibri" w:hAnsi="Calibri" w:eastAsia="Calibri"/>
                <w:b/>
                <w:i w:val="0"/>
                <w:sz w:val="20"/>
              </w:rPr>
              <w:t>УКЭП ≈ QES</w:t>
            </w:r>
          </w:p>
        </w:tc>
        <w:tc>
          <w:tcPr>
            <w:tcW w:type="dxa" w:w="2339"/>
          </w:tcPr>
          <w:p>
            <w:r/>
            <w:r>
              <w:rPr>
                <w:rFonts w:ascii="Calibri" w:hAnsi="Calibri" w:eastAsia="Calibri"/>
                <w:b w:val="0"/>
                <w:i w:val="0"/>
                <w:sz w:val="20"/>
              </w:rPr>
              <w:t>Аккредитованный / квалифицированный УЦ, сертифицированные средства</w:t>
            </w:r>
          </w:p>
        </w:tc>
        <w:tc>
          <w:tcPr>
            <w:tcW w:type="dxa" w:w="2339"/>
          </w:tcPr>
          <w:p>
            <w:r/>
            <w:r>
              <w:rPr>
                <w:rFonts w:ascii="Calibri" w:hAnsi="Calibri" w:eastAsia="Calibri"/>
                <w:b w:val="0"/>
                <w:i w:val="0"/>
                <w:sz w:val="20"/>
              </w:rPr>
              <w:t>В силу закона, без дополнительных условий</w:t>
            </w:r>
          </w:p>
        </w:tc>
        <w:tc>
          <w:tcPr>
            <w:tcW w:type="dxa" w:w="2339"/>
          </w:tcPr>
          <w:p>
            <w:r/>
            <w:r>
              <w:rPr>
                <w:rFonts w:ascii="Calibri" w:hAnsi="Calibri" w:eastAsia="Calibri"/>
                <w:b w:val="0"/>
                <w:i w:val="0"/>
                <w:sz w:val="20"/>
              </w:rPr>
              <w:t>Руководитель организации, отчётность, высокий риск оспаривания</w:t>
            </w:r>
          </w:p>
        </w:tc>
      </w:tr>
      <w:tr>
        <w:tc>
          <w:tcPr>
            <w:tcW w:type="dxa" w:w="2339"/>
          </w:tcPr>
          <w:p>
            <w:r/>
            <w:r>
              <w:rPr>
                <w:rFonts w:ascii="Calibri" w:hAnsi="Calibri" w:eastAsia="Calibri"/>
                <w:b/>
                <w:i w:val="0"/>
                <w:sz w:val="20"/>
              </w:rPr>
              <w:t>ЭЦП (РБ, РК)</w:t>
            </w:r>
          </w:p>
        </w:tc>
        <w:tc>
          <w:tcPr>
            <w:tcW w:type="dxa" w:w="2339"/>
          </w:tcPr>
          <w:p>
            <w:r/>
            <w:r>
              <w:rPr>
                <w:rFonts w:ascii="Calibri" w:hAnsi="Calibri" w:eastAsia="Calibri"/>
                <w:b w:val="0"/>
                <w:i w:val="0"/>
                <w:sz w:val="20"/>
              </w:rPr>
              <w:t>Государственная PKI, обычно один уровень</w:t>
            </w:r>
          </w:p>
        </w:tc>
        <w:tc>
          <w:tcPr>
            <w:tcW w:type="dxa" w:w="2339"/>
          </w:tcPr>
          <w:p>
            <w:r/>
            <w:r>
              <w:rPr>
                <w:rFonts w:ascii="Calibri" w:hAnsi="Calibri" w:eastAsia="Calibri"/>
                <w:b w:val="0"/>
                <w:i w:val="0"/>
                <w:sz w:val="20"/>
              </w:rPr>
              <w:t>Электронный документ с ЭЦП = бумажный с подписью</w:t>
            </w:r>
          </w:p>
        </w:tc>
        <w:tc>
          <w:tcPr>
            <w:tcW w:type="dxa" w:w="2339"/>
          </w:tcPr>
          <w:p>
            <w:r/>
            <w:r>
              <w:rPr>
                <w:rFonts w:ascii="Calibri" w:hAnsi="Calibri" w:eastAsia="Calibri"/>
                <w:b w:val="0"/>
                <w:i w:val="0"/>
                <w:sz w:val="20"/>
              </w:rPr>
              <w:t>Журнал инструктажа в РК; в РБ журнал можно и без ЭЦП у рабочего</w:t>
            </w:r>
          </w:p>
        </w:tc>
      </w:tr>
      <w:tr>
        <w:tc>
          <w:tcPr>
            <w:tcW w:type="dxa" w:w="2339"/>
          </w:tcPr>
          <w:p>
            <w:r/>
            <w:r>
              <w:rPr>
                <w:rFonts w:ascii="Calibri" w:hAnsi="Calibri" w:eastAsia="Calibri"/>
                <w:b/>
                <w:i w:val="0"/>
                <w:sz w:val="20"/>
              </w:rPr>
              <w:t>Textform (§ 126b BGB)</w:t>
            </w:r>
          </w:p>
        </w:tc>
        <w:tc>
          <w:tcPr>
            <w:tcW w:type="dxa" w:w="2339"/>
          </w:tcPr>
          <w:p>
            <w:r/>
            <w:r>
              <w:rPr>
                <w:rFonts w:ascii="Calibri" w:hAnsi="Calibri" w:eastAsia="Calibri"/>
                <w:b w:val="0"/>
                <w:i w:val="0"/>
                <w:sz w:val="20"/>
              </w:rPr>
              <w:t>Указание лица + долговечный носитель, без QES</w:t>
            </w:r>
          </w:p>
        </w:tc>
        <w:tc>
          <w:tcPr>
            <w:tcW w:type="dxa" w:w="2339"/>
          </w:tcPr>
          <w:p>
            <w:r/>
            <w:r>
              <w:rPr>
                <w:rFonts w:ascii="Calibri" w:hAnsi="Calibri" w:eastAsia="Calibri"/>
                <w:b w:val="0"/>
                <w:i w:val="0"/>
                <w:sz w:val="20"/>
              </w:rPr>
              <w:t>Там, где закон снизил Schriftform до Textform (кадры с 2025)</w:t>
            </w:r>
          </w:p>
        </w:tc>
        <w:tc>
          <w:tcPr>
            <w:tcW w:type="dxa" w:w="2339"/>
          </w:tcPr>
          <w:p>
            <w:r/>
            <w:r>
              <w:rPr>
                <w:rFonts w:ascii="Calibri" w:hAnsi="Calibri" w:eastAsia="Calibri"/>
                <w:b w:val="0"/>
                <w:i w:val="0"/>
                <w:sz w:val="20"/>
              </w:rPr>
              <w:t>Условия труда, многие HR‑документы в Германии</w:t>
            </w:r>
          </w:p>
        </w:tc>
      </w:tr>
      <w:tr>
        <w:tc>
          <w:tcPr>
            <w:tcW w:type="dxa" w:w="2339"/>
          </w:tcPr>
          <w:p>
            <w:r/>
            <w:r>
              <w:rPr>
                <w:rFonts w:ascii="Calibri" w:hAnsi="Calibri" w:eastAsia="Calibri"/>
                <w:b/>
                <w:i w:val="0"/>
                <w:sz w:val="20"/>
              </w:rPr>
              <w:t>Скан подписи</w:t>
            </w:r>
          </w:p>
        </w:tc>
        <w:tc>
          <w:tcPr>
            <w:tcW w:type="dxa" w:w="2339"/>
          </w:tcPr>
          <w:p>
            <w:r/>
            <w:r>
              <w:rPr>
                <w:rFonts w:ascii="Calibri" w:hAnsi="Calibri" w:eastAsia="Calibri"/>
                <w:b w:val="0"/>
                <w:i w:val="0"/>
                <w:sz w:val="20"/>
              </w:rPr>
              <w:t>Картинка собственноручной подписи на PDF</w:t>
            </w:r>
          </w:p>
        </w:tc>
        <w:tc>
          <w:tcPr>
            <w:tcW w:type="dxa" w:w="2339"/>
          </w:tcPr>
          <w:p>
            <w:r/>
            <w:r>
              <w:rPr>
                <w:rFonts w:ascii="Calibri" w:hAnsi="Calibri" w:eastAsia="Calibri"/>
                <w:b w:val="0"/>
                <w:i w:val="0"/>
                <w:sz w:val="20"/>
              </w:rPr>
              <w:t>Как правило нет (Cass. soc. 21‑19.841: скан ≠ ЭП)</w:t>
            </w:r>
          </w:p>
        </w:tc>
        <w:tc>
          <w:tcPr>
            <w:tcW w:type="dxa" w:w="2339"/>
          </w:tcPr>
          <w:p>
            <w:r/>
            <w:r>
              <w:rPr>
                <w:rFonts w:ascii="Calibri" w:hAnsi="Calibri" w:eastAsia="Calibri"/>
                <w:b w:val="0"/>
                <w:i w:val="0"/>
                <w:sz w:val="20"/>
              </w:rPr>
              <w:t>Не замена ПЭП/УНЭП/УКЭП</w:t>
            </w:r>
          </w:p>
        </w:tc>
      </w:tr>
    </w:tbl>
    <w:p/>
    <w:p>
      <w:pPr>
        <w:spacing w:line="360" w:lineRule="auto"/>
        <w:ind w:firstLine="709"/>
      </w:pPr>
      <w:r>
        <w:rPr>
          <w:rFonts w:ascii="Times New Roman" w:hAnsi="Times New Roman" w:eastAsia="Times New Roman"/>
          <w:b w:val="0"/>
          <w:i w:val="0"/>
          <w:sz w:val="28"/>
        </w:rPr>
        <w:t>ПЭП приравнивается к собственноручной, если это сказано в акте или в соглашении сторон, где прописаны правила определения подписанта и обязанность хранить конфиденциальность пароля/кода. УНЭП требует соглашения о признании. УКЭП / QES даёт максимальную силу без такого соглашения. В США иерархии нет: достаточно electronic signature, связанной с записью и сделанной с намерением подписать. В Кении даже «живая» advanced signature может не пройти в процесс без сертификата 106B.</w:t>
      </w:r>
    </w:p>
    <w:p>
      <w:pPr>
        <w:spacing w:before="40" w:after="160"/>
        <w:ind w:firstLine="0"/>
      </w:pPr>
      <w:r>
        <w:rPr>
          <w:rFonts w:ascii="Times New Roman" w:hAnsi="Times New Roman" w:eastAsia="Times New Roman"/>
          <w:b w:val="0"/>
          <w:i/>
          <w:color w:val="535353"/>
          <w:sz w:val="22"/>
        </w:rPr>
        <w:t xml:space="preserve">Проверить: </w:t>
      </w:r>
      <w:hyperlink r:id="rId10">
        <w:r>
          <w:rPr>
            <w:color w:val="0563C1"/>
            <w:u w:val="single"/>
            <w:sz w:val="22"/>
            <w:rFonts w:ascii="Calibri" w:hAnsi="Calibri"/>
          </w:rPr>
          <w:t xml:space="preserve">63‑ФЗ об электронной подписи</w:t>
        </w:r>
      </w:hyperlink>
      <w:r>
        <w:rPr>
          <w:rFonts w:ascii="Times New Roman" w:hAnsi="Times New Roman" w:eastAsia="Times New Roman"/>
          <w:b w:val="0"/>
          <w:i w:val="0"/>
          <w:color w:val="535353"/>
          <w:sz w:val="22"/>
        </w:rPr>
        <w:t xml:space="preserve">  ·  </w:t>
      </w:r>
      <w:hyperlink r:id="rId15">
        <w:r>
          <w:rPr>
            <w:color w:val="0563C1"/>
            <w:u w:val="single"/>
            <w:sz w:val="22"/>
            <w:rFonts w:ascii="Calibri" w:hAnsi="Calibri"/>
          </w:rPr>
          <w:t xml:space="preserve">ESIGN Act</w:t>
        </w:r>
      </w:hyperlink>
    </w:p>
    <w:p>
      <w:pPr>
        <w:pStyle w:val="Heading2"/>
        <w:ind w:firstLine="0"/>
      </w:pPr>
      <w:r>
        <w:rPr>
          <w:rFonts w:ascii="Times New Roman" w:hAnsi="Times New Roman" w:eastAsia="Times New Roman"/>
          <w:b/>
          <w:i w:val="0"/>
          <w:color w:val="1F4E79"/>
          <w:sz w:val="28"/>
        </w:rPr>
        <w:t>2.3. Кадровый ЭДО в Российской Федерации как линия сравнения</w:t>
      </w:r>
    </w:p>
    <w:p>
      <w:pPr>
        <w:spacing w:line="360" w:lineRule="auto"/>
        <w:ind w:firstLine="709"/>
      </w:pPr>
      <w:r>
        <w:rPr>
          <w:rFonts w:ascii="Times New Roman" w:hAnsi="Times New Roman" w:eastAsia="Times New Roman"/>
          <w:b w:val="0"/>
          <w:i w:val="0"/>
          <w:sz w:val="28"/>
        </w:rPr>
        <w:t>С 22 ноября 2021 г. (ФЗ № 377‑ФЗ) в ТК РФ появились ст. 22.1–22.3: создание, подписание, использование и хранение работодателем и работником документов, связанных с работой, в электронном виде. Нужны согласие работника (с изъятиями), локальный порядок и выбранные виды ЭП. Часть 3 ст. 22.1 прямо исключает из этого режима, среди прочего, акт о несчастном случае и документы, подтверждающие прохождение инструктажей по охране труда, в том числе лично подписываемые работником.</w:t>
      </w:r>
    </w:p>
    <w:p>
      <w:pPr>
        <w:spacing w:before="40" w:after="160"/>
        <w:ind w:firstLine="0"/>
      </w:pPr>
      <w:r>
        <w:rPr>
          <w:rFonts w:ascii="Times New Roman" w:hAnsi="Times New Roman" w:eastAsia="Times New Roman"/>
          <w:b w:val="0"/>
          <w:i/>
          <w:color w:val="535353"/>
          <w:sz w:val="22"/>
        </w:rPr>
        <w:t xml:space="preserve">Проверить: </w:t>
      </w:r>
      <w:hyperlink r:id="rId11">
        <w:r>
          <w:rPr>
            <w:color w:val="0563C1"/>
            <w:u w:val="single"/>
            <w:sz w:val="22"/>
            <w:rFonts w:ascii="Calibri" w:hAnsi="Calibri"/>
          </w:rPr>
          <w:t xml:space="preserve">ТК РФ, ст. 22.1–22.3</w:t>
        </w:r>
      </w:hyperlink>
      <w:r>
        <w:rPr>
          <w:rFonts w:ascii="Times New Roman" w:hAnsi="Times New Roman" w:eastAsia="Times New Roman"/>
          <w:b w:val="0"/>
          <w:i w:val="0"/>
          <w:color w:val="535353"/>
          <w:sz w:val="22"/>
        </w:rPr>
        <w:t xml:space="preserve">  ·  </w:t>
      </w:r>
      <w:hyperlink r:id="rId24">
        <w:r>
          <w:rPr>
            <w:color w:val="0563C1"/>
            <w:u w:val="single"/>
            <w:sz w:val="22"/>
            <w:rFonts w:ascii="Calibri" w:hAnsi="Calibri"/>
          </w:rPr>
          <w:t xml:space="preserve">Письмо Минтруда 14‑6/ООГ‑97</w:t>
        </w:r>
      </w:hyperlink>
    </w:p>
    <w:p>
      <w:pPr>
        <w:spacing w:line="360" w:lineRule="auto"/>
        <w:ind w:firstLine="709"/>
      </w:pPr>
      <w:r>
        <w:rPr>
          <w:rFonts w:ascii="Times New Roman" w:hAnsi="Times New Roman" w:eastAsia="Times New Roman"/>
          <w:b w:val="0"/>
          <w:i w:val="0"/>
          <w:sz w:val="28"/>
        </w:rPr>
        <w:t>Это центральный индивидуально‑российский барьер. Минтруд (письма 15‑2/В‑1677 и 14‑6/ООГ‑97) подтверждает: журналы инструктажа и акт НС — только бумага, мотив — нельзя менять задним числом. При этом протокол проверки знания по п. 91–93 Правил № 2464 уже можно вести электронно при идентификации личности. Внутри одной отрасли получается разрыв: обучение — электронно, инструктаж на рабочем месте — бумага.</w:t>
      </w:r>
    </w:p>
    <w:p>
      <w:pPr>
        <w:spacing w:before="40" w:after="160"/>
        <w:ind w:firstLine="0"/>
      </w:pPr>
      <w:r>
        <w:rPr>
          <w:rFonts w:ascii="Times New Roman" w:hAnsi="Times New Roman" w:eastAsia="Times New Roman"/>
          <w:b w:val="0"/>
          <w:i/>
          <w:color w:val="535353"/>
          <w:sz w:val="22"/>
        </w:rPr>
        <w:t xml:space="preserve">Проверить: </w:t>
      </w:r>
      <w:hyperlink r:id="rId25">
        <w:r>
          <w:rPr>
            <w:color w:val="0563C1"/>
            <w:u w:val="single"/>
            <w:sz w:val="22"/>
            <w:rFonts w:ascii="Calibri" w:hAnsi="Calibri"/>
          </w:rPr>
          <w:t xml:space="preserve">ПП РФ № 2464</w:t>
        </w:r>
      </w:hyperlink>
      <w:r>
        <w:rPr>
          <w:rFonts w:ascii="Times New Roman" w:hAnsi="Times New Roman" w:eastAsia="Times New Roman"/>
          <w:b w:val="0"/>
          <w:i w:val="0"/>
          <w:color w:val="535353"/>
          <w:sz w:val="22"/>
        </w:rPr>
        <w:t xml:space="preserve">  ·  </w:t>
      </w:r>
      <w:hyperlink r:id="rId24">
        <w:r>
          <w:rPr>
            <w:color w:val="0563C1"/>
            <w:u w:val="single"/>
            <w:sz w:val="22"/>
            <w:rFonts w:ascii="Calibri" w:hAnsi="Calibri"/>
          </w:rPr>
          <w:t xml:space="preserve">Письмо Минтруда 14‑6/ООГ‑97</w:t>
        </w:r>
      </w:hyperlink>
    </w:p>
    <w:p>
      <w:pPr>
        <w:pStyle w:val="Heading1"/>
        <w:ind w:firstLine="0"/>
      </w:pPr>
      <w:r>
        <w:rPr>
          <w:rFonts w:ascii="Times New Roman" w:hAnsi="Times New Roman" w:eastAsia="Times New Roman"/>
          <w:b/>
          <w:i w:val="0"/>
          <w:color w:val="1F4E79"/>
          <w:sz w:val="28"/>
        </w:rPr>
        <w:t>3. Основные особенности кадрового ЭДО по странам</w:t>
      </w:r>
    </w:p>
    <w:p>
      <w:pPr>
        <w:spacing w:line="360" w:lineRule="auto"/>
        <w:ind w:firstLine="709"/>
      </w:pPr>
      <w:r>
        <w:rPr>
          <w:rFonts w:ascii="Times New Roman" w:hAnsi="Times New Roman" w:eastAsia="Times New Roman"/>
          <w:b w:val="0"/>
          <w:i w:val="0"/>
          <w:sz w:val="28"/>
        </w:rPr>
        <w:t>Ниже — не «ещё страны ради стран», а модели. Для каждой зафиксированы: чем регламентируется кадровый обмен, какой подписью пользуется работник, есть ли согласие, какие исключения.</w:t>
      </w:r>
    </w:p>
    <w:p>
      <w:pPr>
        <w:ind w:firstLine="0"/>
        <w:jc w:val="center"/>
      </w:pPr>
      <w:r>
        <w:rPr>
          <w:rFonts w:ascii="Times New Roman" w:hAnsi="Times New Roman" w:eastAsia="Times New Roman"/>
          <w:b w:val="0"/>
          <w:i/>
          <w:sz w:val="24"/>
        </w:rPr>
        <w:t>Таблица 3 — Кадровый ЭДО: регламент, подпись работника, исключения</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fill="1F4E79" w:val="clear"/>
          </w:tcPr>
          <w:p>
            <w:r/>
            <w:r>
              <w:rPr>
                <w:rFonts w:ascii="Calibri" w:hAnsi="Calibri" w:eastAsia="Calibri"/>
                <w:b/>
                <w:i w:val="0"/>
                <w:color w:val="FFFFFF"/>
                <w:sz w:val="20"/>
              </w:rPr>
              <w:t>Юрисдикция</w:t>
            </w:r>
          </w:p>
        </w:tc>
        <w:tc>
          <w:tcPr>
            <w:tcW w:type="dxa" w:w="1871"/>
            <w:shd w:fill="1F4E79" w:val="clear"/>
          </w:tcPr>
          <w:p>
            <w:r/>
            <w:r>
              <w:rPr>
                <w:rFonts w:ascii="Calibri" w:hAnsi="Calibri" w:eastAsia="Calibri"/>
                <w:b/>
                <w:i w:val="0"/>
                <w:color w:val="FFFFFF"/>
                <w:sz w:val="20"/>
              </w:rPr>
              <w:t>Чем регламентируется</w:t>
            </w:r>
          </w:p>
        </w:tc>
        <w:tc>
          <w:tcPr>
            <w:tcW w:type="dxa" w:w="1871"/>
            <w:shd w:fill="1F4E79" w:val="clear"/>
          </w:tcPr>
          <w:p>
            <w:r/>
            <w:r>
              <w:rPr>
                <w:rFonts w:ascii="Calibri" w:hAnsi="Calibri" w:eastAsia="Calibri"/>
                <w:b/>
                <w:i w:val="0"/>
                <w:color w:val="FFFFFF"/>
                <w:sz w:val="20"/>
              </w:rPr>
              <w:t>Подпись работника</w:t>
            </w:r>
          </w:p>
        </w:tc>
        <w:tc>
          <w:tcPr>
            <w:tcW w:type="dxa" w:w="1871"/>
            <w:shd w:fill="1F4E79" w:val="clear"/>
          </w:tcPr>
          <w:p>
            <w:r/>
            <w:r>
              <w:rPr>
                <w:rFonts w:ascii="Calibri" w:hAnsi="Calibri" w:eastAsia="Calibri"/>
                <w:b/>
                <w:i w:val="0"/>
                <w:color w:val="FFFFFF"/>
                <w:sz w:val="20"/>
              </w:rPr>
              <w:t>Согласие / условия</w:t>
            </w:r>
          </w:p>
        </w:tc>
        <w:tc>
          <w:tcPr>
            <w:tcW w:type="dxa" w:w="1871"/>
            <w:shd w:fill="1F4E79" w:val="clear"/>
          </w:tcPr>
          <w:p>
            <w:r/>
            <w:r>
              <w:rPr>
                <w:rFonts w:ascii="Calibri" w:hAnsi="Calibri" w:eastAsia="Calibri"/>
                <w:b/>
                <w:i w:val="0"/>
                <w:color w:val="FFFFFF"/>
                <w:sz w:val="20"/>
              </w:rPr>
              <w:t>Исключения</w:t>
            </w:r>
          </w:p>
        </w:tc>
      </w:tr>
      <w:tr>
        <w:tc>
          <w:tcPr>
            <w:tcW w:type="dxa" w:w="1871"/>
          </w:tcPr>
          <w:p>
            <w:r/>
            <w:r>
              <w:rPr>
                <w:rFonts w:ascii="Calibri" w:hAnsi="Calibri" w:eastAsia="Calibri"/>
                <w:b/>
                <w:i w:val="0"/>
                <w:sz w:val="20"/>
              </w:rPr>
              <w:t>ЕС</w:t>
            </w:r>
          </w:p>
        </w:tc>
        <w:tc>
          <w:tcPr>
            <w:tcW w:type="dxa" w:w="1871"/>
          </w:tcPr>
          <w:p>
            <w:r/>
            <w:r>
              <w:rPr>
                <w:rFonts w:ascii="Calibri" w:hAnsi="Calibri" w:eastAsia="Calibri"/>
                <w:b w:val="0"/>
                <w:i w:val="0"/>
                <w:sz w:val="20"/>
              </w:rPr>
              <w:t>eIDAS + национальное трудовое право</w:t>
            </w:r>
          </w:p>
        </w:tc>
        <w:tc>
          <w:tcPr>
            <w:tcW w:type="dxa" w:w="1871"/>
          </w:tcPr>
          <w:p>
            <w:r/>
            <w:r>
              <w:rPr>
                <w:rFonts w:ascii="Calibri" w:hAnsi="Calibri" w:eastAsia="Calibri"/>
                <w:b w:val="0"/>
                <w:i w:val="0"/>
                <w:sz w:val="20"/>
              </w:rPr>
              <w:t>Часто SES/AES; QES там, где закон требует собственноручную</w:t>
            </w:r>
          </w:p>
        </w:tc>
        <w:tc>
          <w:tcPr>
            <w:tcW w:type="dxa" w:w="1871"/>
          </w:tcPr>
          <w:p>
            <w:r/>
            <w:r>
              <w:rPr>
                <w:rFonts w:ascii="Calibri" w:hAnsi="Calibri" w:eastAsia="Calibri"/>
                <w:b w:val="0"/>
                <w:i w:val="0"/>
                <w:sz w:val="20"/>
              </w:rPr>
              <w:t>Национально; общесоюзного КЭДО нет</w:t>
            </w:r>
          </w:p>
        </w:tc>
        <w:tc>
          <w:tcPr>
            <w:tcW w:type="dxa" w:w="1871"/>
          </w:tcPr>
          <w:p>
            <w:r/>
            <w:r>
              <w:rPr>
                <w:rFonts w:ascii="Calibri" w:hAnsi="Calibri" w:eastAsia="Calibri"/>
                <w:b w:val="0"/>
                <w:i w:val="0"/>
                <w:sz w:val="20"/>
              </w:rPr>
              <w:t>Нет общесоюзного запрета e‑журнала ОТ</w:t>
            </w:r>
          </w:p>
        </w:tc>
      </w:tr>
      <w:tr>
        <w:tc>
          <w:tcPr>
            <w:tcW w:type="dxa" w:w="1871"/>
          </w:tcPr>
          <w:p>
            <w:r/>
            <w:r>
              <w:rPr>
                <w:rFonts w:ascii="Calibri" w:hAnsi="Calibri" w:eastAsia="Calibri"/>
                <w:b/>
                <w:i w:val="0"/>
                <w:sz w:val="20"/>
              </w:rPr>
              <w:t>Германия</w:t>
            </w:r>
          </w:p>
        </w:tc>
        <w:tc>
          <w:tcPr>
            <w:tcW w:type="dxa" w:w="1871"/>
          </w:tcPr>
          <w:p>
            <w:r/>
            <w:r>
              <w:rPr>
                <w:rFonts w:ascii="Calibri" w:hAnsi="Calibri" w:eastAsia="Calibri"/>
                <w:b w:val="0"/>
                <w:i w:val="0"/>
                <w:sz w:val="20"/>
              </w:rPr>
              <w:t>BGB + BEG IV (2025) + ArbSchG для ОТ</w:t>
            </w:r>
          </w:p>
        </w:tc>
        <w:tc>
          <w:tcPr>
            <w:tcW w:type="dxa" w:w="1871"/>
          </w:tcPr>
          <w:p>
            <w:r/>
            <w:r>
              <w:rPr>
                <w:rFonts w:ascii="Calibri" w:hAnsi="Calibri" w:eastAsia="Calibri"/>
                <w:b w:val="0"/>
                <w:i w:val="0"/>
                <w:sz w:val="20"/>
              </w:rPr>
              <w:t>Textform (e‑mail/PDF) для многих HR‑документов</w:t>
            </w:r>
          </w:p>
        </w:tc>
        <w:tc>
          <w:tcPr>
            <w:tcW w:type="dxa" w:w="1871"/>
          </w:tcPr>
          <w:p>
            <w:r/>
            <w:r>
              <w:rPr>
                <w:rFonts w:ascii="Calibri" w:hAnsi="Calibri" w:eastAsia="Calibri"/>
                <w:b w:val="0"/>
                <w:i w:val="0"/>
                <w:sz w:val="20"/>
              </w:rPr>
              <w:t>Подтверждение получения; QES не нужна массово</w:t>
            </w:r>
          </w:p>
        </w:tc>
        <w:tc>
          <w:tcPr>
            <w:tcW w:type="dxa" w:w="1871"/>
          </w:tcPr>
          <w:p>
            <w:r/>
            <w:r>
              <w:rPr>
                <w:rFonts w:ascii="Calibri" w:hAnsi="Calibri" w:eastAsia="Calibri"/>
                <w:b w:val="0"/>
                <w:i w:val="0"/>
                <w:sz w:val="20"/>
              </w:rPr>
              <w:t>Увольнение, срочный договор — Schriftform</w:t>
            </w:r>
          </w:p>
        </w:tc>
      </w:tr>
      <w:tr>
        <w:tc>
          <w:tcPr>
            <w:tcW w:type="dxa" w:w="1871"/>
          </w:tcPr>
          <w:p>
            <w:r/>
            <w:r>
              <w:rPr>
                <w:rFonts w:ascii="Calibri" w:hAnsi="Calibri" w:eastAsia="Calibri"/>
                <w:b/>
                <w:i w:val="0"/>
                <w:sz w:val="20"/>
              </w:rPr>
              <w:t>Франция</w:t>
            </w:r>
          </w:p>
        </w:tc>
        <w:tc>
          <w:tcPr>
            <w:tcW w:type="dxa" w:w="1871"/>
          </w:tcPr>
          <w:p>
            <w:r/>
            <w:r>
              <w:rPr>
                <w:rFonts w:ascii="Calibri" w:hAnsi="Calibri" w:eastAsia="Calibri"/>
                <w:b w:val="0"/>
                <w:i w:val="0"/>
                <w:sz w:val="20"/>
              </w:rPr>
              <w:t>Гражданский кодекс + eIDAS</w:t>
            </w:r>
          </w:p>
        </w:tc>
        <w:tc>
          <w:tcPr>
            <w:tcW w:type="dxa" w:w="1871"/>
          </w:tcPr>
          <w:p>
            <w:r/>
            <w:r>
              <w:rPr>
                <w:rFonts w:ascii="Calibri" w:hAnsi="Calibri" w:eastAsia="Calibri"/>
                <w:b w:val="0"/>
                <w:i w:val="0"/>
                <w:sz w:val="20"/>
              </w:rPr>
              <w:t>QES даёт презумпцию; простая — свободная оценка</w:t>
            </w:r>
          </w:p>
        </w:tc>
        <w:tc>
          <w:tcPr>
            <w:tcW w:type="dxa" w:w="1871"/>
          </w:tcPr>
          <w:p>
            <w:r/>
            <w:r>
              <w:rPr>
                <w:rFonts w:ascii="Calibri" w:hAnsi="Calibri" w:eastAsia="Calibri"/>
                <w:b w:val="0"/>
                <w:i w:val="0"/>
                <w:sz w:val="20"/>
              </w:rPr>
              <w:t>Общий режим</w:t>
            </w:r>
          </w:p>
        </w:tc>
        <w:tc>
          <w:tcPr>
            <w:tcW w:type="dxa" w:w="1871"/>
          </w:tcPr>
          <w:p>
            <w:r/>
            <w:r>
              <w:rPr>
                <w:rFonts w:ascii="Calibri" w:hAnsi="Calibri" w:eastAsia="Calibri"/>
                <w:b w:val="0"/>
                <w:i w:val="0"/>
                <w:sz w:val="20"/>
              </w:rPr>
              <w:t>Скан подписи не считается ЭП</w:t>
            </w:r>
          </w:p>
        </w:tc>
      </w:tr>
      <w:tr>
        <w:tc>
          <w:tcPr>
            <w:tcW w:type="dxa" w:w="1871"/>
          </w:tcPr>
          <w:p>
            <w:r/>
            <w:r>
              <w:rPr>
                <w:rFonts w:ascii="Calibri" w:hAnsi="Calibri" w:eastAsia="Calibri"/>
                <w:b/>
                <w:i w:val="0"/>
                <w:sz w:val="20"/>
              </w:rPr>
              <w:t>США</w:t>
            </w:r>
          </w:p>
        </w:tc>
        <w:tc>
          <w:tcPr>
            <w:tcW w:type="dxa" w:w="1871"/>
          </w:tcPr>
          <w:p>
            <w:r/>
            <w:r>
              <w:rPr>
                <w:rFonts w:ascii="Calibri" w:hAnsi="Calibri" w:eastAsia="Calibri"/>
                <w:b w:val="0"/>
                <w:i w:val="0"/>
                <w:sz w:val="20"/>
              </w:rPr>
              <w:t>ESIGN / UETA + отраслевые акты</w:t>
            </w:r>
          </w:p>
        </w:tc>
        <w:tc>
          <w:tcPr>
            <w:tcW w:type="dxa" w:w="1871"/>
          </w:tcPr>
          <w:p>
            <w:r/>
            <w:r>
              <w:rPr>
                <w:rFonts w:ascii="Calibri" w:hAnsi="Calibri" w:eastAsia="Calibri"/>
                <w:b w:val="0"/>
                <w:i w:val="0"/>
                <w:sz w:val="20"/>
              </w:rPr>
              <w:t>Любая electronic signature с намерением подписать</w:t>
            </w:r>
          </w:p>
        </w:tc>
        <w:tc>
          <w:tcPr>
            <w:tcW w:type="dxa" w:w="1871"/>
          </w:tcPr>
          <w:p>
            <w:r/>
            <w:r>
              <w:rPr>
                <w:rFonts w:ascii="Calibri" w:hAnsi="Calibri" w:eastAsia="Calibri"/>
                <w:b w:val="0"/>
                <w:i w:val="0"/>
                <w:sz w:val="20"/>
              </w:rPr>
              <w:t>Consumer/employee consent + воспроизводимость</w:t>
            </w:r>
          </w:p>
        </w:tc>
        <w:tc>
          <w:tcPr>
            <w:tcW w:type="dxa" w:w="1871"/>
          </w:tcPr>
          <w:p>
            <w:r/>
            <w:r>
              <w:rPr>
                <w:rFonts w:ascii="Calibri" w:hAnsi="Calibri" w:eastAsia="Calibri"/>
                <w:b w:val="0"/>
                <w:i w:val="0"/>
                <w:sz w:val="20"/>
              </w:rPr>
              <w:t>Семейные/завещательные и ряд статутных актов</w:t>
            </w:r>
          </w:p>
        </w:tc>
      </w:tr>
      <w:tr>
        <w:tc>
          <w:tcPr>
            <w:tcW w:type="dxa" w:w="1871"/>
          </w:tcPr>
          <w:p>
            <w:r/>
            <w:r>
              <w:rPr>
                <w:rFonts w:ascii="Calibri" w:hAnsi="Calibri" w:eastAsia="Calibri"/>
                <w:b/>
                <w:i w:val="0"/>
                <w:sz w:val="20"/>
              </w:rPr>
              <w:t>Сингапур</w:t>
            </w:r>
          </w:p>
        </w:tc>
        <w:tc>
          <w:tcPr>
            <w:tcW w:type="dxa" w:w="1871"/>
          </w:tcPr>
          <w:p>
            <w:r/>
            <w:r>
              <w:rPr>
                <w:rFonts w:ascii="Calibri" w:hAnsi="Calibri" w:eastAsia="Calibri"/>
                <w:b w:val="0"/>
                <w:i w:val="0"/>
                <w:sz w:val="20"/>
              </w:rPr>
              <w:t>ETA 2010</w:t>
            </w:r>
          </w:p>
        </w:tc>
        <w:tc>
          <w:tcPr>
            <w:tcW w:type="dxa" w:w="1871"/>
          </w:tcPr>
          <w:p>
            <w:r/>
            <w:r>
              <w:rPr>
                <w:rFonts w:ascii="Calibri" w:hAnsi="Calibri" w:eastAsia="Calibri"/>
                <w:b w:val="0"/>
                <w:i w:val="0"/>
                <w:sz w:val="20"/>
              </w:rPr>
              <w:t>ЭП или secure ES</w:t>
            </w:r>
          </w:p>
        </w:tc>
        <w:tc>
          <w:tcPr>
            <w:tcW w:type="dxa" w:w="1871"/>
          </w:tcPr>
          <w:p>
            <w:r/>
            <w:r>
              <w:rPr>
                <w:rFonts w:ascii="Calibri" w:hAnsi="Calibri" w:eastAsia="Calibri"/>
                <w:b w:val="0"/>
                <w:i w:val="0"/>
                <w:sz w:val="20"/>
              </w:rPr>
              <w:t>Стороны могут договором исключить электронную форму</w:t>
            </w:r>
          </w:p>
        </w:tc>
        <w:tc>
          <w:tcPr>
            <w:tcW w:type="dxa" w:w="1871"/>
          </w:tcPr>
          <w:p>
            <w:r/>
            <w:r>
              <w:rPr>
                <w:rFonts w:ascii="Calibri" w:hAnsi="Calibri" w:eastAsia="Calibri"/>
                <w:b w:val="0"/>
                <w:i w:val="0"/>
                <w:sz w:val="20"/>
              </w:rPr>
              <w:t>Нет спецзапрета кадровых журналов</w:t>
            </w:r>
          </w:p>
        </w:tc>
      </w:tr>
      <w:tr>
        <w:tc>
          <w:tcPr>
            <w:tcW w:type="dxa" w:w="1871"/>
          </w:tcPr>
          <w:p>
            <w:r/>
            <w:r>
              <w:rPr>
                <w:rFonts w:ascii="Calibri" w:hAnsi="Calibri" w:eastAsia="Calibri"/>
                <w:b/>
                <w:i w:val="0"/>
                <w:sz w:val="20"/>
              </w:rPr>
              <w:t>Казахстан</w:t>
            </w:r>
          </w:p>
        </w:tc>
        <w:tc>
          <w:tcPr>
            <w:tcW w:type="dxa" w:w="1871"/>
          </w:tcPr>
          <w:p>
            <w:r/>
            <w:r>
              <w:rPr>
                <w:rFonts w:ascii="Calibri" w:hAnsi="Calibri" w:eastAsia="Calibri"/>
                <w:b w:val="0"/>
                <w:i w:val="0"/>
                <w:sz w:val="20"/>
              </w:rPr>
              <w:t>Закон № 370 + правила ОТ</w:t>
            </w:r>
          </w:p>
        </w:tc>
        <w:tc>
          <w:tcPr>
            <w:tcW w:type="dxa" w:w="1871"/>
          </w:tcPr>
          <w:p>
            <w:r/>
            <w:r>
              <w:rPr>
                <w:rFonts w:ascii="Calibri" w:hAnsi="Calibri" w:eastAsia="Calibri"/>
                <w:b w:val="0"/>
                <w:i w:val="0"/>
                <w:sz w:val="20"/>
              </w:rPr>
              <w:t>ЭЦП инструктирующего и инструктируемого в журнале</w:t>
            </w:r>
          </w:p>
        </w:tc>
        <w:tc>
          <w:tcPr>
            <w:tcW w:type="dxa" w:w="1871"/>
          </w:tcPr>
          <w:p>
            <w:r/>
            <w:r>
              <w:rPr>
                <w:rFonts w:ascii="Calibri" w:hAnsi="Calibri" w:eastAsia="Calibri"/>
                <w:b w:val="0"/>
                <w:i w:val="0"/>
                <w:sz w:val="20"/>
              </w:rPr>
              <w:t>По закону об ЭЦП</w:t>
            </w:r>
          </w:p>
        </w:tc>
        <w:tc>
          <w:tcPr>
            <w:tcW w:type="dxa" w:w="1871"/>
          </w:tcPr>
          <w:p>
            <w:r/>
            <w:r>
              <w:rPr>
                <w:rFonts w:ascii="Calibri" w:hAnsi="Calibri" w:eastAsia="Calibri"/>
                <w:b w:val="0"/>
                <w:i w:val="0"/>
                <w:sz w:val="20"/>
              </w:rPr>
              <w:t>Журнал инструктажа как раз разрешён электронно</w:t>
            </w:r>
          </w:p>
        </w:tc>
      </w:tr>
      <w:tr>
        <w:tc>
          <w:tcPr>
            <w:tcW w:type="dxa" w:w="1871"/>
          </w:tcPr>
          <w:p>
            <w:r/>
            <w:r>
              <w:rPr>
                <w:rFonts w:ascii="Calibri" w:hAnsi="Calibri" w:eastAsia="Calibri"/>
                <w:b/>
                <w:i w:val="0"/>
                <w:sz w:val="20"/>
              </w:rPr>
              <w:t>Беларусь</w:t>
            </w:r>
          </w:p>
        </w:tc>
        <w:tc>
          <w:tcPr>
            <w:tcW w:type="dxa" w:w="1871"/>
          </w:tcPr>
          <w:p>
            <w:r/>
            <w:r>
              <w:rPr>
                <w:rFonts w:ascii="Calibri" w:hAnsi="Calibri" w:eastAsia="Calibri"/>
                <w:b w:val="0"/>
                <w:i w:val="0"/>
                <w:sz w:val="20"/>
              </w:rPr>
              <w:t>113‑З + п. 35 Инстр. 175</w:t>
            </w:r>
          </w:p>
        </w:tc>
        <w:tc>
          <w:tcPr>
            <w:tcW w:type="dxa" w:w="1871"/>
          </w:tcPr>
          <w:p>
            <w:r/>
            <w:r>
              <w:rPr>
                <w:rFonts w:ascii="Calibri" w:hAnsi="Calibri" w:eastAsia="Calibri"/>
                <w:b w:val="0"/>
                <w:i w:val="0"/>
                <w:sz w:val="20"/>
              </w:rPr>
              <w:t>Идентификация, не обязательно ЭЦП у каждого рабочего</w:t>
            </w:r>
          </w:p>
        </w:tc>
        <w:tc>
          <w:tcPr>
            <w:tcW w:type="dxa" w:w="1871"/>
          </w:tcPr>
          <w:p>
            <w:r/>
            <w:r>
              <w:rPr>
                <w:rFonts w:ascii="Calibri" w:hAnsi="Calibri" w:eastAsia="Calibri"/>
                <w:b w:val="0"/>
                <w:i w:val="0"/>
                <w:sz w:val="20"/>
              </w:rPr>
              <w:t>Программные средства + защита от правок</w:t>
            </w:r>
          </w:p>
        </w:tc>
        <w:tc>
          <w:tcPr>
            <w:tcW w:type="dxa" w:w="1871"/>
          </w:tcPr>
          <w:p>
            <w:r/>
            <w:r>
              <w:rPr>
                <w:rFonts w:ascii="Calibri" w:hAnsi="Calibri" w:eastAsia="Calibri"/>
                <w:b w:val="0"/>
                <w:i w:val="0"/>
                <w:sz w:val="20"/>
              </w:rPr>
              <w:t>Нет аналога ст. 22.1(3) ТК РФ</w:t>
            </w:r>
          </w:p>
        </w:tc>
      </w:tr>
      <w:tr>
        <w:tc>
          <w:tcPr>
            <w:tcW w:type="dxa" w:w="1871"/>
          </w:tcPr>
          <w:p>
            <w:r/>
            <w:r>
              <w:rPr>
                <w:rFonts w:ascii="Calibri" w:hAnsi="Calibri" w:eastAsia="Calibri"/>
                <w:b/>
                <w:i w:val="0"/>
                <w:sz w:val="20"/>
              </w:rPr>
              <w:t>Сербия</w:t>
            </w:r>
          </w:p>
        </w:tc>
        <w:tc>
          <w:tcPr>
            <w:tcW w:type="dxa" w:w="1871"/>
          </w:tcPr>
          <w:p>
            <w:r/>
            <w:r>
              <w:rPr>
                <w:rFonts w:ascii="Calibri" w:hAnsi="Calibri" w:eastAsia="Calibri"/>
                <w:b w:val="0"/>
                <w:i w:val="0"/>
                <w:sz w:val="20"/>
              </w:rPr>
              <w:t>Закон об ЭП + правилник ОТ</w:t>
            </w:r>
          </w:p>
        </w:tc>
        <w:tc>
          <w:tcPr>
            <w:tcW w:type="dxa" w:w="1871"/>
          </w:tcPr>
          <w:p>
            <w:r/>
            <w:r>
              <w:rPr>
                <w:rFonts w:ascii="Calibri" w:hAnsi="Calibri" w:eastAsia="Calibri"/>
                <w:b w:val="0"/>
                <w:i w:val="0"/>
                <w:sz w:val="20"/>
              </w:rPr>
              <w:t>QES на электронных формах ОТ</w:t>
            </w:r>
          </w:p>
        </w:tc>
        <w:tc>
          <w:tcPr>
            <w:tcW w:type="dxa" w:w="1871"/>
          </w:tcPr>
          <w:p>
            <w:r/>
            <w:r>
              <w:rPr>
                <w:rFonts w:ascii="Calibri" w:hAnsi="Calibri" w:eastAsia="Calibri"/>
                <w:b w:val="0"/>
                <w:i w:val="0"/>
                <w:sz w:val="20"/>
              </w:rPr>
              <w:t>Квалифицированный сертификат ответственного</w:t>
            </w:r>
          </w:p>
        </w:tc>
        <w:tc>
          <w:tcPr>
            <w:tcW w:type="dxa" w:w="1871"/>
          </w:tcPr>
          <w:p>
            <w:r/>
            <w:r>
              <w:rPr>
                <w:rFonts w:ascii="Calibri" w:hAnsi="Calibri" w:eastAsia="Calibri"/>
                <w:b w:val="0"/>
                <w:i w:val="0"/>
                <w:sz w:val="20"/>
              </w:rPr>
              <w:t>Form 6 (учёт обученных) — только бумага</w:t>
            </w:r>
          </w:p>
        </w:tc>
      </w:tr>
      <w:tr>
        <w:tc>
          <w:tcPr>
            <w:tcW w:type="dxa" w:w="1871"/>
          </w:tcPr>
          <w:p>
            <w:r/>
            <w:r>
              <w:rPr>
                <w:rFonts w:ascii="Calibri" w:hAnsi="Calibri" w:eastAsia="Calibri"/>
                <w:b/>
                <w:i w:val="0"/>
                <w:sz w:val="20"/>
              </w:rPr>
              <w:t>Кения</w:t>
            </w:r>
          </w:p>
        </w:tc>
        <w:tc>
          <w:tcPr>
            <w:tcW w:type="dxa" w:w="1871"/>
          </w:tcPr>
          <w:p>
            <w:r/>
            <w:r>
              <w:rPr>
                <w:rFonts w:ascii="Calibri" w:hAnsi="Calibri" w:eastAsia="Calibri"/>
                <w:b w:val="0"/>
                <w:i w:val="0"/>
                <w:sz w:val="20"/>
              </w:rPr>
              <w:t>KICA + Evidence Act</w:t>
            </w:r>
          </w:p>
        </w:tc>
        <w:tc>
          <w:tcPr>
            <w:tcW w:type="dxa" w:w="1871"/>
          </w:tcPr>
          <w:p>
            <w:r/>
            <w:r>
              <w:rPr>
                <w:rFonts w:ascii="Calibri" w:hAnsi="Calibri" w:eastAsia="Calibri"/>
                <w:b w:val="0"/>
                <w:i w:val="0"/>
                <w:sz w:val="20"/>
              </w:rPr>
              <w:t>Advanced ES = wet ink</w:t>
            </w:r>
          </w:p>
        </w:tc>
        <w:tc>
          <w:tcPr>
            <w:tcW w:type="dxa" w:w="1871"/>
          </w:tcPr>
          <w:p>
            <w:r/>
            <w:r>
              <w:rPr>
                <w:rFonts w:ascii="Calibri" w:hAnsi="Calibri" w:eastAsia="Calibri"/>
                <w:b w:val="0"/>
                <w:i w:val="0"/>
                <w:sz w:val="20"/>
              </w:rPr>
              <w:t>Для суда нужен сертификат 106B</w:t>
            </w:r>
          </w:p>
        </w:tc>
        <w:tc>
          <w:tcPr>
            <w:tcW w:type="dxa" w:w="1871"/>
          </w:tcPr>
          <w:p>
            <w:r/>
            <w:r>
              <w:rPr>
                <w:rFonts w:ascii="Calibri" w:hAnsi="Calibri" w:eastAsia="Calibri"/>
                <w:b w:val="0"/>
                <w:i w:val="0"/>
                <w:sz w:val="20"/>
              </w:rPr>
              <w:t>Отраслевой OSHA молчит; процесс жёстче закона ОТ</w:t>
            </w:r>
          </w:p>
        </w:tc>
      </w:tr>
      <w:tr>
        <w:tc>
          <w:tcPr>
            <w:tcW w:type="dxa" w:w="1871"/>
          </w:tcPr>
          <w:p>
            <w:r/>
            <w:r>
              <w:rPr>
                <w:rFonts w:ascii="Calibri" w:hAnsi="Calibri" w:eastAsia="Calibri"/>
                <w:b/>
                <w:i w:val="0"/>
                <w:sz w:val="20"/>
              </w:rPr>
              <w:t>Россия</w:t>
            </w:r>
          </w:p>
        </w:tc>
        <w:tc>
          <w:tcPr>
            <w:tcW w:type="dxa" w:w="1871"/>
          </w:tcPr>
          <w:p>
            <w:r/>
            <w:r>
              <w:rPr>
                <w:rFonts w:ascii="Calibri" w:hAnsi="Calibri" w:eastAsia="Calibri"/>
                <w:b w:val="0"/>
                <w:i w:val="0"/>
                <w:sz w:val="20"/>
              </w:rPr>
              <w:t>63‑ФЗ + ст. 22.1–22.3 ТК</w:t>
            </w:r>
          </w:p>
        </w:tc>
        <w:tc>
          <w:tcPr>
            <w:tcW w:type="dxa" w:w="1871"/>
          </w:tcPr>
          <w:p>
            <w:r/>
            <w:r>
              <w:rPr>
                <w:rFonts w:ascii="Calibri" w:hAnsi="Calibri" w:eastAsia="Calibri"/>
                <w:b w:val="0"/>
                <w:i w:val="0"/>
                <w:sz w:val="20"/>
              </w:rPr>
              <w:t>ПЭП работника типична; руководитель — УНЭП/УКЭП</w:t>
            </w:r>
          </w:p>
        </w:tc>
        <w:tc>
          <w:tcPr>
            <w:tcW w:type="dxa" w:w="1871"/>
          </w:tcPr>
          <w:p>
            <w:r/>
            <w:r>
              <w:rPr>
                <w:rFonts w:ascii="Calibri" w:hAnsi="Calibri" w:eastAsia="Calibri"/>
                <w:b w:val="0"/>
                <w:i w:val="0"/>
                <w:sz w:val="20"/>
              </w:rPr>
              <w:t>Письменное согласие на КЭДО (с изъятиями)</w:t>
            </w:r>
          </w:p>
        </w:tc>
        <w:tc>
          <w:tcPr>
            <w:tcW w:type="dxa" w:w="1871"/>
          </w:tcPr>
          <w:p>
            <w:r/>
            <w:r>
              <w:rPr>
                <w:rFonts w:ascii="Calibri" w:hAnsi="Calibri" w:eastAsia="Calibri"/>
                <w:b w:val="0"/>
                <w:i w:val="0"/>
                <w:sz w:val="20"/>
              </w:rPr>
              <w:t>Инструктажи ОТ, акт НС, приказ об увольнении — вне КЭДО</w:t>
            </w:r>
          </w:p>
        </w:tc>
      </w:tr>
    </w:tbl>
    <w:p/>
    <w:p>
      <w:pPr>
        <w:spacing w:line="360" w:lineRule="auto"/>
        <w:ind w:firstLine="709"/>
      </w:pPr>
      <w:r>
        <w:rPr>
          <w:rFonts w:ascii="Times New Roman" w:hAnsi="Times New Roman" w:eastAsia="Times New Roman"/>
          <w:b w:val="0"/>
          <w:i w:val="0"/>
          <w:sz w:val="28"/>
        </w:rPr>
        <w:t>Общий рисунок. Работнику почти везде достаточно простой или усиленной (неквалифицированной) подписи для ознакомления и массовых кадровых действий. Квалифицированная подпись концентрируется на руководителе, отчётности и документах с высоким риском оспаривания. Индивидуальные требования бьют не по «кадрам вообще», а по отдельным документам: увольнение (DE, РФ), журнал обучения (RS Form 6, РФ 22.1(3)), процессуальный конверт (KE 106B).</w:t>
      </w:r>
    </w:p>
    <w:p>
      <w:pPr>
        <w:pStyle w:val="Heading1"/>
        <w:ind w:firstLine="0"/>
      </w:pPr>
      <w:r>
        <w:rPr>
          <w:rFonts w:ascii="Times New Roman" w:hAnsi="Times New Roman" w:eastAsia="Times New Roman"/>
          <w:b/>
          <w:i w:val="0"/>
          <w:color w:val="1F4E79"/>
          <w:sz w:val="28"/>
        </w:rPr>
        <w:t>4. Судебная практика о применении электронной подписи работниками</w:t>
      </w:r>
    </w:p>
    <w:p>
      <w:pPr>
        <w:spacing w:line="360" w:lineRule="auto"/>
        <w:ind w:firstLine="709"/>
      </w:pPr>
      <w:r>
        <w:rPr>
          <w:rFonts w:ascii="Times New Roman" w:hAnsi="Times New Roman" w:eastAsia="Times New Roman"/>
          <w:b w:val="0"/>
          <w:i w:val="0"/>
          <w:sz w:val="28"/>
        </w:rPr>
        <w:t>В отчёте Сколково кадровый ЭДО иллюстрировался двумя российскими делами об увольнении. Логика сохранена: сначала — кадры как таковые (волеизъявление работника), затем — охрана труда (содержание инструктажа), затем — зарубежные карточки. Номера дел не вымышлены. Где нет спора именно об электронном журнале ОТ, карточка помечена как аналогия.</w:t>
      </w:r>
    </w:p>
    <w:p>
      <w:pPr>
        <w:pStyle w:val="Heading2"/>
        <w:ind w:firstLine="0"/>
      </w:pPr>
      <w:r>
        <w:rPr>
          <w:rFonts w:ascii="Times New Roman" w:hAnsi="Times New Roman" w:eastAsia="Times New Roman"/>
          <w:b/>
          <w:i w:val="0"/>
          <w:color w:val="1F4E79"/>
          <w:sz w:val="28"/>
        </w:rPr>
        <w:t>4.1. Российская Федерация: кадровый ЭДО</w:t>
      </w:r>
    </w:p>
    <w:p>
      <w:pPr>
        <w:spacing w:line="360" w:lineRule="auto"/>
        <w:ind w:firstLine="709"/>
      </w:pPr>
      <w:r>
        <w:rPr>
          <w:rFonts w:ascii="Times New Roman" w:hAnsi="Times New Roman" w:eastAsia="Times New Roman"/>
          <w:b w:val="0"/>
          <w:i w:val="0"/>
          <w:sz w:val="28"/>
        </w:rPr>
        <w:t>Девятый кассационный суд общей юрисдикции, определение от 8 декабря 2022 г. по делу № 88‑10853/2022 (Осетров О.Г. против АО «Винлаб»). Работник был уволен по заявлению, подписанному УНЭП в системе HRlink. Он утверждал, что заявление не подавал, рабочее место не оборудовано компьютером, SMS‑коды на выпуск УНЭП ввёл, заблуждаясь относительно сути действий. Кассация отменила отказные решения: суды ограничились формальной проверкой действительности УНЭП и не исследовали добровольность и осознанность волеизъявления (п. 22 постановления Пленума ВС РФ от 17.03.2004 № 2). Вывод для кадрового ЭДО: наличие технически валидной УНЭП не заменяет исследование воли работника.</w:t>
      </w:r>
    </w:p>
    <w:p>
      <w:pPr>
        <w:spacing w:before="40" w:after="160"/>
        <w:ind w:firstLine="0"/>
      </w:pPr>
      <w:r>
        <w:rPr>
          <w:rFonts w:ascii="Times New Roman" w:hAnsi="Times New Roman" w:eastAsia="Times New Roman"/>
          <w:b w:val="0"/>
          <w:i/>
          <w:color w:val="535353"/>
          <w:sz w:val="22"/>
        </w:rPr>
        <w:t xml:space="preserve">Проверить: </w:t>
      </w:r>
      <w:hyperlink r:id="rId26">
        <w:r>
          <w:rPr>
            <w:color w:val="0563C1"/>
            <w:u w:val="single"/>
            <w:sz w:val="22"/>
            <w:rFonts w:ascii="Calibri" w:hAnsi="Calibri"/>
          </w:rPr>
          <w:t xml:space="preserve">Пленум ВС РФ № 2 (17.03.2004)</w:t>
        </w:r>
      </w:hyperlink>
      <w:r>
        <w:rPr>
          <w:rFonts w:ascii="Times New Roman" w:hAnsi="Times New Roman" w:eastAsia="Times New Roman"/>
          <w:b w:val="0"/>
          <w:i w:val="0"/>
          <w:color w:val="535353"/>
          <w:sz w:val="22"/>
        </w:rPr>
        <w:t xml:space="preserve">  ·  </w:t>
      </w:r>
      <w:hyperlink r:id="rId10">
        <w:r>
          <w:rPr>
            <w:color w:val="0563C1"/>
            <w:u w:val="single"/>
            <w:sz w:val="22"/>
            <w:rFonts w:ascii="Calibri" w:hAnsi="Calibri"/>
          </w:rPr>
          <w:t xml:space="preserve">63‑ФЗ об электронной подписи</w:t>
        </w:r>
      </w:hyperlink>
    </w:p>
    <w:p>
      <w:pPr>
        <w:spacing w:line="360" w:lineRule="auto"/>
        <w:ind w:firstLine="709"/>
      </w:pPr>
      <w:r>
        <w:rPr>
          <w:rFonts w:ascii="Times New Roman" w:hAnsi="Times New Roman" w:eastAsia="Times New Roman"/>
          <w:b w:val="0"/>
          <w:i w:val="0"/>
          <w:sz w:val="28"/>
        </w:rPr>
        <w:t>Печорский городской суд Республики Коми, дело № 2‑981/2020 (Артеева Л.Н. против ПАО «Сбербанк»). Истец оспаривала увольнение по срочному договору, ссылаясь на невозможность ознакомиться с электронными допсоглашениями из‑за занятости. Суд отказал: она присоединилась к соглашению об электронном взаимодействии, УНЭП признана равнозначной собственноручной, документы направлялись своевременно. Вывод: при доказанном согласии и доведении документов суд принимает кадровый ЭДО.</w:t>
      </w:r>
    </w:p>
    <w:p>
      <w:pPr>
        <w:spacing w:line="360" w:lineRule="auto"/>
        <w:ind w:firstLine="709"/>
      </w:pPr>
      <w:r>
        <w:rPr>
          <w:rFonts w:ascii="Times New Roman" w:hAnsi="Times New Roman" w:eastAsia="Times New Roman"/>
          <w:b w:val="0"/>
          <w:i w:val="0"/>
          <w:sz w:val="28"/>
        </w:rPr>
        <w:t>Общий урок двух дел, уже сформулированный в отчёте Сколково, остаётся в силе: работники не всегда осознают юридические последствия электронного подписания. Работодателю недостаточно «выпустить УНЭП»; нужно информирование, доступ к системе и возможность установить, кто именно ввёл код.</w:t>
      </w:r>
    </w:p>
    <w:p>
      <w:pPr>
        <w:spacing w:line="360" w:lineRule="auto"/>
        <w:ind w:firstLine="709"/>
      </w:pPr>
      <w:r>
        <w:rPr>
          <w:rFonts w:ascii="Times New Roman" w:hAnsi="Times New Roman" w:eastAsia="Times New Roman"/>
          <w:b w:val="0"/>
          <w:i w:val="0"/>
          <w:sz w:val="28"/>
        </w:rPr>
        <w:t>Для ЭДО в целом ориентир — постановление Пленума ВС РФ от 23.06.2015 № 25, п. 65: юридически значимое сообщение можно направить по электронной почте и иной связи, если можно достоверно установить отправителя и адресата.</w:t>
      </w:r>
    </w:p>
    <w:p>
      <w:pPr>
        <w:spacing w:before="40" w:after="160"/>
        <w:ind w:firstLine="0"/>
      </w:pPr>
      <w:r>
        <w:rPr>
          <w:rFonts w:ascii="Times New Roman" w:hAnsi="Times New Roman" w:eastAsia="Times New Roman"/>
          <w:b w:val="0"/>
          <w:i/>
          <w:color w:val="535353"/>
          <w:sz w:val="22"/>
        </w:rPr>
        <w:t xml:space="preserve">Проверить: </w:t>
      </w:r>
      <w:hyperlink r:id="rId27">
        <w:r>
          <w:rPr>
            <w:color w:val="0563C1"/>
            <w:u w:val="single"/>
            <w:sz w:val="22"/>
            <w:rFonts w:ascii="Calibri" w:hAnsi="Calibri"/>
          </w:rPr>
          <w:t xml:space="preserve">Пленум ВС РФ № 25, п. 65</w:t>
        </w:r>
      </w:hyperlink>
    </w:p>
    <w:p>
      <w:pPr>
        <w:pStyle w:val="Heading2"/>
        <w:ind w:firstLine="0"/>
      </w:pPr>
      <w:r>
        <w:rPr>
          <w:rFonts w:ascii="Times New Roman" w:hAnsi="Times New Roman" w:eastAsia="Times New Roman"/>
          <w:b/>
          <w:i w:val="0"/>
          <w:color w:val="1F4E79"/>
          <w:sz w:val="28"/>
        </w:rPr>
        <w:t>4.2. Российская Федерация: охрана труда (аналогия по содержанию журнала)</w:t>
      </w:r>
    </w:p>
    <w:p>
      <w:pPr>
        <w:spacing w:line="360" w:lineRule="auto"/>
        <w:ind w:firstLine="709"/>
      </w:pPr>
      <w:r>
        <w:rPr>
          <w:rFonts w:ascii="Times New Roman" w:hAnsi="Times New Roman" w:eastAsia="Times New Roman"/>
          <w:b w:val="0"/>
          <w:i w:val="0"/>
          <w:sz w:val="28"/>
        </w:rPr>
        <w:t>Прямого опубликованного спора «электронный журнал инструктажа ничтожен» нет: вопрос носителя закрыл законодатель. Постановление ВС РФ от 06.09.2024 № 49‑АД24‑22‑К6 — аналогия: суд подтвердил ответственность за допуск без повторного инструктажа и за журнал без указания ЛНА (п. 87 Правил № 2464). Как и зарубежные суды по ОТ, российский суд бьёт по содержанию и факту, а не по «электронности» книги.</w:t>
      </w:r>
    </w:p>
    <w:p>
      <w:pPr>
        <w:spacing w:before="40" w:after="160"/>
        <w:ind w:firstLine="0"/>
      </w:pPr>
      <w:r>
        <w:rPr>
          <w:rFonts w:ascii="Times New Roman" w:hAnsi="Times New Roman" w:eastAsia="Times New Roman"/>
          <w:b w:val="0"/>
          <w:i/>
          <w:color w:val="535353"/>
          <w:sz w:val="22"/>
        </w:rPr>
        <w:t xml:space="preserve">Проверить: </w:t>
      </w:r>
      <w:hyperlink r:id="rId28">
        <w:r>
          <w:rPr>
            <w:color w:val="0563C1"/>
            <w:u w:val="single"/>
            <w:sz w:val="22"/>
            <w:rFonts w:ascii="Calibri" w:hAnsi="Calibri"/>
          </w:rPr>
          <w:t xml:space="preserve">ВС РФ № 49‑АД24‑22‑К6</w:t>
        </w:r>
      </w:hyperlink>
      <w:r>
        <w:rPr>
          <w:rFonts w:ascii="Times New Roman" w:hAnsi="Times New Roman" w:eastAsia="Times New Roman"/>
          <w:b w:val="0"/>
          <w:i w:val="0"/>
          <w:color w:val="535353"/>
          <w:sz w:val="22"/>
        </w:rPr>
        <w:t xml:space="preserve">  ·  </w:t>
      </w:r>
      <w:hyperlink r:id="rId25">
        <w:r>
          <w:rPr>
            <w:color w:val="0563C1"/>
            <w:u w:val="single"/>
            <w:sz w:val="22"/>
            <w:rFonts w:ascii="Calibri" w:hAnsi="Calibri"/>
          </w:rPr>
          <w:t xml:space="preserve">ПП РФ № 2464</w:t>
        </w:r>
      </w:hyperlink>
    </w:p>
    <w:p>
      <w:r>
        <w:rPr>
          <w:rFonts w:ascii="Calibri" w:hAnsi="Calibri" w:eastAsia="Calibri"/>
          <w:b/>
          <w:i w:val="0"/>
          <w:color w:val="1F4E79"/>
          <w:sz w:val="22"/>
        </w:rPr>
        <w:t xml:space="preserve">Пометка о статусе практики. </w:t>
      </w:r>
      <w:r>
        <w:rPr>
          <w:rFonts w:ascii="Calibri" w:hAnsi="Calibri" w:eastAsia="Calibri"/>
          <w:b w:val="0"/>
          <w:i w:val="0"/>
          <w:color w:val="535353"/>
          <w:sz w:val="22"/>
        </w:rPr>
        <w:t>Карточка ВС 49‑АД24‑22‑К6 не говорит, что e‑журнал недопустим. Она показывает, какие реквизиты должны быть в любой форме журнала — бумажной или, после правки закона, электронной.</w:t>
      </w:r>
    </w:p>
    <w:p>
      <w:pPr>
        <w:pStyle w:val="Heading2"/>
        <w:ind w:firstLine="0"/>
      </w:pPr>
      <w:r>
        <w:rPr>
          <w:rFonts w:ascii="Times New Roman" w:hAnsi="Times New Roman" w:eastAsia="Times New Roman"/>
          <w:b/>
          <w:i w:val="0"/>
          <w:color w:val="1F4E79"/>
          <w:sz w:val="28"/>
        </w:rPr>
        <w:t>4.3. Зарубежные кейсы</w:t>
      </w:r>
    </w:p>
    <w:p>
      <w:pPr>
        <w:spacing w:line="360" w:lineRule="auto"/>
        <w:ind w:firstLine="709"/>
      </w:pPr>
      <w:r>
        <w:rPr>
          <w:rFonts w:ascii="Times New Roman" w:hAnsi="Times New Roman" w:eastAsia="Times New Roman"/>
          <w:b w:val="0"/>
          <w:i w:val="0"/>
          <w:sz w:val="28"/>
        </w:rPr>
        <w:t>По семи дополнительным юрисдикциям ниже — по одной карточке на срез «кадры/ЭДО» и, где уместно, на охрану труда. Полные тексты дел — в архиве НИР (папка судебной практики).</w:t>
      </w:r>
    </w:p>
    <w:p>
      <w:pPr>
        <w:ind w:firstLine="0"/>
        <w:jc w:val="center"/>
      </w:pPr>
      <w:r>
        <w:rPr>
          <w:rFonts w:ascii="Times New Roman" w:hAnsi="Times New Roman" w:eastAsia="Times New Roman"/>
          <w:b w:val="0"/>
          <w:i/>
          <w:sz w:val="24"/>
        </w:rPr>
        <w:t>Таблица 4 — Судебные и квазисудебные кейсы (кадры / подпись / обучение)</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shd w:fill="1F4E79" w:val="clear"/>
          </w:tcPr>
          <w:p>
            <w:r/>
            <w:r>
              <w:rPr>
                <w:rFonts w:ascii="Calibri" w:hAnsi="Calibri" w:eastAsia="Calibri"/>
                <w:b/>
                <w:i w:val="0"/>
                <w:color w:val="FFFFFF"/>
                <w:sz w:val="20"/>
              </w:rPr>
              <w:t>Страна</w:t>
            </w:r>
          </w:p>
        </w:tc>
        <w:tc>
          <w:tcPr>
            <w:tcW w:type="dxa" w:w="1559"/>
            <w:shd w:fill="1F4E79" w:val="clear"/>
          </w:tcPr>
          <w:p>
            <w:r/>
            <w:r>
              <w:rPr>
                <w:rFonts w:ascii="Calibri" w:hAnsi="Calibri" w:eastAsia="Calibri"/>
                <w:b/>
                <w:i w:val="0"/>
                <w:color w:val="FFFFFF"/>
                <w:sz w:val="20"/>
              </w:rPr>
              <w:t>Срез</w:t>
            </w:r>
          </w:p>
        </w:tc>
        <w:tc>
          <w:tcPr>
            <w:tcW w:type="dxa" w:w="1559"/>
            <w:shd w:fill="1F4E79" w:val="clear"/>
          </w:tcPr>
          <w:p>
            <w:r/>
            <w:r>
              <w:rPr>
                <w:rFonts w:ascii="Calibri" w:hAnsi="Calibri" w:eastAsia="Calibri"/>
                <w:b/>
                <w:i w:val="0"/>
                <w:color w:val="FFFFFF"/>
                <w:sz w:val="20"/>
              </w:rPr>
              <w:t>Тип</w:t>
            </w:r>
          </w:p>
        </w:tc>
        <w:tc>
          <w:tcPr>
            <w:tcW w:type="dxa" w:w="1559"/>
            <w:shd w:fill="1F4E79" w:val="clear"/>
          </w:tcPr>
          <w:p>
            <w:r/>
            <w:r>
              <w:rPr>
                <w:rFonts w:ascii="Calibri" w:hAnsi="Calibri" w:eastAsia="Calibri"/>
                <w:b/>
                <w:i w:val="0"/>
                <w:color w:val="FFFFFF"/>
                <w:sz w:val="20"/>
              </w:rPr>
              <w:t>Цитата</w:t>
            </w:r>
          </w:p>
        </w:tc>
        <w:tc>
          <w:tcPr>
            <w:tcW w:type="dxa" w:w="1559"/>
            <w:shd w:fill="1F4E79" w:val="clear"/>
          </w:tcPr>
          <w:p>
            <w:r/>
            <w:r>
              <w:rPr>
                <w:rFonts w:ascii="Calibri" w:hAnsi="Calibri" w:eastAsia="Calibri"/>
                <w:b/>
                <w:i w:val="0"/>
                <w:color w:val="FFFFFF"/>
                <w:sz w:val="20"/>
              </w:rPr>
              <w:t>Сюжет</w:t>
            </w:r>
          </w:p>
        </w:tc>
        <w:tc>
          <w:tcPr>
            <w:tcW w:type="dxa" w:w="1559"/>
            <w:shd w:fill="1F4E79" w:val="clear"/>
          </w:tcPr>
          <w:p>
            <w:r/>
            <w:r>
              <w:rPr>
                <w:rFonts w:ascii="Calibri" w:hAnsi="Calibri" w:eastAsia="Calibri"/>
                <w:b/>
                <w:i w:val="0"/>
                <w:color w:val="FFFFFF"/>
                <w:sz w:val="20"/>
              </w:rPr>
              <w:t>Проверить</w:t>
            </w:r>
          </w:p>
        </w:tc>
      </w:tr>
      <w:tr>
        <w:tc>
          <w:tcPr>
            <w:tcW w:type="dxa" w:w="1559"/>
          </w:tcPr>
          <w:p>
            <w:r/>
            <w:r>
              <w:rPr>
                <w:rFonts w:ascii="Calibri" w:hAnsi="Calibri" w:eastAsia="Calibri"/>
                <w:b/>
                <w:i w:val="0"/>
                <w:sz w:val="20"/>
              </w:rPr>
              <w:t>Германия</w:t>
            </w:r>
          </w:p>
        </w:tc>
        <w:tc>
          <w:tcPr>
            <w:tcW w:type="dxa" w:w="1559"/>
          </w:tcPr>
          <w:p>
            <w:r/>
            <w:r>
              <w:rPr>
                <w:rFonts w:ascii="Calibri" w:hAnsi="Calibri" w:eastAsia="Calibri"/>
                <w:b w:val="0"/>
                <w:i w:val="0"/>
                <w:sz w:val="20"/>
              </w:rPr>
              <w:t>ЭДО / подпись</w:t>
            </w:r>
          </w:p>
        </w:tc>
        <w:tc>
          <w:tcPr>
            <w:tcW w:type="dxa" w:w="1559"/>
          </w:tcPr>
          <w:p>
            <w:r/>
            <w:r>
              <w:rPr>
                <w:rFonts w:ascii="Calibri" w:hAnsi="Calibri" w:eastAsia="Calibri"/>
                <w:b w:val="0"/>
                <w:i w:val="0"/>
                <w:sz w:val="20"/>
              </w:rPr>
              <w:t>прямая</w:t>
            </w:r>
          </w:p>
        </w:tc>
        <w:tc>
          <w:tcPr>
            <w:tcW w:type="dxa" w:w="1559"/>
          </w:tcPr>
          <w:p>
            <w:r/>
            <w:r>
              <w:rPr>
                <w:rFonts w:ascii="Calibri" w:hAnsi="Calibri" w:eastAsia="Calibri"/>
                <w:b w:val="0"/>
                <w:i w:val="0"/>
                <w:sz w:val="20"/>
              </w:rPr>
              <w:t>BGH, Urteil vom 27.11.2024 — VIII ZR 155/23</w:t>
            </w:r>
          </w:p>
        </w:tc>
        <w:tc>
          <w:tcPr>
            <w:tcW w:type="dxa" w:w="1559"/>
          </w:tcPr>
          <w:p>
            <w:r/>
            <w:r>
              <w:rPr>
                <w:rFonts w:ascii="Calibri" w:hAnsi="Calibri" w:eastAsia="Calibri"/>
                <w:b w:val="0"/>
                <w:i w:val="0"/>
                <w:sz w:val="20"/>
              </w:rPr>
              <w:t>Zugang волеизъявления, подписанного квалифицированной электронной подписью</w:t>
            </w:r>
          </w:p>
        </w:tc>
        <w:tc>
          <w:tcPr>
            <w:tcW w:type="dxa" w:w="1559"/>
          </w:tcPr>
          <w:p>
            <w:r/>
            <w:hyperlink r:id="rId29">
              <w:r>
                <w:rPr>
                  <w:color w:val="0563C1"/>
                  <w:u w:val="single"/>
                  <w:sz w:val="18"/>
                  <w:rFonts w:ascii="Calibri" w:hAnsi="Calibri"/>
                </w:rPr>
                <w:t xml:space="preserve">Официальный PDF BGH VIII ZR 155/23</w:t>
              </w:r>
            </w:hyperlink>
          </w:p>
        </w:tc>
      </w:tr>
      <w:tr>
        <w:tc>
          <w:tcPr>
            <w:tcW w:type="dxa" w:w="1559"/>
          </w:tcPr>
          <w:p>
            <w:r/>
            <w:r>
              <w:rPr>
                <w:rFonts w:ascii="Calibri" w:hAnsi="Calibri" w:eastAsia="Calibri"/>
                <w:b/>
                <w:i w:val="0"/>
                <w:sz w:val="20"/>
              </w:rPr>
              <w:t>Германия</w:t>
            </w:r>
          </w:p>
        </w:tc>
        <w:tc>
          <w:tcPr>
            <w:tcW w:type="dxa" w:w="1559"/>
          </w:tcPr>
          <w:p>
            <w:r/>
            <w:r>
              <w:rPr>
                <w:rFonts w:ascii="Calibri" w:hAnsi="Calibri" w:eastAsia="Calibri"/>
                <w:b w:val="0"/>
                <w:i w:val="0"/>
                <w:sz w:val="20"/>
              </w:rPr>
              <w:t>ОТ / обучение</w:t>
            </w:r>
          </w:p>
        </w:tc>
        <w:tc>
          <w:tcPr>
            <w:tcW w:type="dxa" w:w="1559"/>
          </w:tcPr>
          <w:p>
            <w:r/>
            <w:r>
              <w:rPr>
                <w:rFonts w:ascii="Calibri" w:hAnsi="Calibri" w:eastAsia="Calibri"/>
                <w:b w:val="0"/>
                <w:i w:val="0"/>
                <w:sz w:val="20"/>
              </w:rPr>
              <w:t>аналогия</w:t>
            </w:r>
          </w:p>
        </w:tc>
        <w:tc>
          <w:tcPr>
            <w:tcW w:type="dxa" w:w="1559"/>
          </w:tcPr>
          <w:p>
            <w:r/>
            <w:r>
              <w:rPr>
                <w:rFonts w:ascii="Calibri" w:hAnsi="Calibri" w:eastAsia="Calibri"/>
                <w:b w:val="0"/>
                <w:i w:val="0"/>
                <w:sz w:val="20"/>
              </w:rPr>
              <w:t>BAG, Beschluss vom 11.01.2011 — 1 ABR 104/09</w:t>
            </w:r>
          </w:p>
        </w:tc>
        <w:tc>
          <w:tcPr>
            <w:tcW w:type="dxa" w:w="1559"/>
          </w:tcPr>
          <w:p>
            <w:r/>
            <w:r>
              <w:rPr>
                <w:rFonts w:ascii="Calibri" w:hAnsi="Calibri" w:eastAsia="Calibri"/>
                <w:b w:val="0"/>
                <w:i w:val="0"/>
                <w:sz w:val="20"/>
              </w:rPr>
              <w:t>Инструктаж по § 12 ArbSchG должен опираться на оценку рисков (§ 5) — содержание важнее формы</w:t>
            </w:r>
          </w:p>
        </w:tc>
        <w:tc>
          <w:tcPr>
            <w:tcW w:type="dxa" w:w="1559"/>
          </w:tcPr>
          <w:p>
            <w:r/>
            <w:hyperlink r:id="rId30">
              <w:r>
                <w:rPr>
                  <w:color w:val="0563C1"/>
                  <w:u w:val="single"/>
                  <w:sz w:val="18"/>
                  <w:rFonts w:ascii="Calibri" w:hAnsi="Calibri"/>
                </w:rPr>
                <w:t xml:space="preserve">BAG 1 ABR 104/09, официальная страница</w:t>
              </w:r>
            </w:hyperlink>
          </w:p>
        </w:tc>
      </w:tr>
      <w:tr>
        <w:tc>
          <w:tcPr>
            <w:tcW w:type="dxa" w:w="1559"/>
          </w:tcPr>
          <w:p>
            <w:r/>
            <w:r>
              <w:rPr>
                <w:rFonts w:ascii="Calibri" w:hAnsi="Calibri" w:eastAsia="Calibri"/>
                <w:b/>
                <w:i w:val="0"/>
                <w:sz w:val="20"/>
              </w:rPr>
              <w:t>Беларусь</w:t>
            </w:r>
          </w:p>
        </w:tc>
        <w:tc>
          <w:tcPr>
            <w:tcW w:type="dxa" w:w="1559"/>
          </w:tcPr>
          <w:p>
            <w:r/>
            <w:r>
              <w:rPr>
                <w:rFonts w:ascii="Calibri" w:hAnsi="Calibri" w:eastAsia="Calibri"/>
                <w:b w:val="0"/>
                <w:i w:val="0"/>
                <w:sz w:val="20"/>
              </w:rPr>
              <w:t>ЭДО / подпись</w:t>
            </w:r>
          </w:p>
        </w:tc>
        <w:tc>
          <w:tcPr>
            <w:tcW w:type="dxa" w:w="1559"/>
          </w:tcPr>
          <w:p>
            <w:r/>
            <w:r>
              <w:rPr>
                <w:rFonts w:ascii="Calibri" w:hAnsi="Calibri" w:eastAsia="Calibri"/>
                <w:b w:val="0"/>
                <w:i w:val="0"/>
                <w:sz w:val="20"/>
              </w:rPr>
              <w:t>прямая</w:t>
            </w:r>
          </w:p>
        </w:tc>
        <w:tc>
          <w:tcPr>
            <w:tcW w:type="dxa" w:w="1559"/>
          </w:tcPr>
          <w:p>
            <w:r/>
            <w:r>
              <w:rPr>
                <w:rFonts w:ascii="Calibri" w:hAnsi="Calibri" w:eastAsia="Calibri"/>
                <w:b w:val="0"/>
                <w:i w:val="0"/>
                <w:sz w:val="20"/>
              </w:rPr>
              <w:t>Ст. 84 ХПК РБ; ст. 22 Закона № 113‑З; обзор практики использования электронных документов в договорных отношениях (в т.ч. материал 16.10.2017)</w:t>
            </w:r>
          </w:p>
        </w:tc>
        <w:tc>
          <w:tcPr>
            <w:tcW w:type="dxa" w:w="1559"/>
          </w:tcPr>
          <w:p>
            <w:r/>
            <w:r>
              <w:rPr>
                <w:rFonts w:ascii="Calibri" w:hAnsi="Calibri" w:eastAsia="Calibri"/>
                <w:b w:val="0"/>
                <w:i w:val="0"/>
                <w:sz w:val="20"/>
              </w:rPr>
              <w:t>Электронный документ с ЭЦП — письменное доказательство, равное бумажному</w:t>
            </w:r>
          </w:p>
        </w:tc>
        <w:tc>
          <w:tcPr>
            <w:tcW w:type="dxa" w:w="1559"/>
          </w:tcPr>
          <w:p>
            <w:r/>
            <w:hyperlink r:id="rId31">
              <w:r>
                <w:rPr>
                  <w:color w:val="0563C1"/>
                  <w:u w:val="single"/>
                  <w:sz w:val="18"/>
                  <w:rFonts w:ascii="Calibri" w:hAnsi="Calibri"/>
                </w:rPr>
                <w:t xml:space="preserve">Ст. 84 ХПК</w:t>
              </w:r>
            </w:hyperlink>
          </w:p>
        </w:tc>
      </w:tr>
      <w:tr>
        <w:tc>
          <w:tcPr>
            <w:tcW w:type="dxa" w:w="1559"/>
          </w:tcPr>
          <w:p>
            <w:r/>
            <w:r>
              <w:rPr>
                <w:rFonts w:ascii="Calibri" w:hAnsi="Calibri" w:eastAsia="Calibri"/>
                <w:b/>
                <w:i w:val="0"/>
                <w:sz w:val="20"/>
              </w:rPr>
              <w:t>Беларусь</w:t>
            </w:r>
          </w:p>
        </w:tc>
        <w:tc>
          <w:tcPr>
            <w:tcW w:type="dxa" w:w="1559"/>
          </w:tcPr>
          <w:p>
            <w:r/>
            <w:r>
              <w:rPr>
                <w:rFonts w:ascii="Calibri" w:hAnsi="Calibri" w:eastAsia="Calibri"/>
                <w:b w:val="0"/>
                <w:i w:val="0"/>
                <w:sz w:val="20"/>
              </w:rPr>
              <w:t>ОТ / обучение</w:t>
            </w:r>
          </w:p>
        </w:tc>
        <w:tc>
          <w:tcPr>
            <w:tcW w:type="dxa" w:w="1559"/>
          </w:tcPr>
          <w:p>
            <w:r/>
            <w:r>
              <w:rPr>
                <w:rFonts w:ascii="Calibri" w:hAnsi="Calibri" w:eastAsia="Calibri"/>
                <w:b w:val="0"/>
                <w:i w:val="0"/>
                <w:sz w:val="20"/>
              </w:rPr>
              <w:t>аналогия</w:t>
            </w:r>
          </w:p>
        </w:tc>
        <w:tc>
          <w:tcPr>
            <w:tcW w:type="dxa" w:w="1559"/>
          </w:tcPr>
          <w:p>
            <w:r/>
            <w:r>
              <w:rPr>
                <w:rFonts w:ascii="Calibri" w:hAnsi="Calibri" w:eastAsia="Calibri"/>
                <w:b w:val="0"/>
                <w:i w:val="0"/>
                <w:sz w:val="20"/>
              </w:rPr>
              <w:t>П. 35 Инструкции № 175 + ст. 84 ХПК (аналогия: как суд принял бы электронный журнал)</w:t>
            </w:r>
          </w:p>
        </w:tc>
        <w:tc>
          <w:tcPr>
            <w:tcW w:type="dxa" w:w="1559"/>
          </w:tcPr>
          <w:p>
            <w:r/>
            <w:r>
              <w:rPr>
                <w:rFonts w:ascii="Calibri" w:hAnsi="Calibri" w:eastAsia="Calibri"/>
                <w:b w:val="0"/>
                <w:i w:val="0"/>
                <w:sz w:val="20"/>
              </w:rPr>
              <w:t>Аналогия: электронный журнал инструктажа как электронный/письменный документ ОТ</w:t>
            </w:r>
          </w:p>
        </w:tc>
        <w:tc>
          <w:tcPr>
            <w:tcW w:type="dxa" w:w="1559"/>
          </w:tcPr>
          <w:p>
            <w:r/>
            <w:hyperlink r:id="rId19">
              <w:r>
                <w:rPr>
                  <w:color w:val="0563C1"/>
                  <w:u w:val="single"/>
                  <w:sz w:val="18"/>
                  <w:rFonts w:ascii="Calibri" w:hAnsi="Calibri"/>
                </w:rPr>
                <w:t xml:space="preserve">Инструкция № 175, п. 35</w:t>
              </w:r>
            </w:hyperlink>
          </w:p>
        </w:tc>
      </w:tr>
      <w:tr>
        <w:tc>
          <w:tcPr>
            <w:tcW w:type="dxa" w:w="1559"/>
          </w:tcPr>
          <w:p>
            <w:r/>
            <w:r>
              <w:rPr>
                <w:rFonts w:ascii="Calibri" w:hAnsi="Calibri" w:eastAsia="Calibri"/>
                <w:b/>
                <w:i w:val="0"/>
                <w:sz w:val="20"/>
              </w:rPr>
              <w:t>Сербия</w:t>
            </w:r>
          </w:p>
        </w:tc>
        <w:tc>
          <w:tcPr>
            <w:tcW w:type="dxa" w:w="1559"/>
          </w:tcPr>
          <w:p>
            <w:r/>
            <w:r>
              <w:rPr>
                <w:rFonts w:ascii="Calibri" w:hAnsi="Calibri" w:eastAsia="Calibri"/>
                <w:b w:val="0"/>
                <w:i w:val="0"/>
                <w:sz w:val="20"/>
              </w:rPr>
              <w:t>ЭДО / подпись</w:t>
            </w:r>
          </w:p>
        </w:tc>
        <w:tc>
          <w:tcPr>
            <w:tcW w:type="dxa" w:w="1559"/>
          </w:tcPr>
          <w:p>
            <w:r/>
            <w:r>
              <w:rPr>
                <w:rFonts w:ascii="Calibri" w:hAnsi="Calibri" w:eastAsia="Calibri"/>
                <w:b w:val="0"/>
                <w:i w:val="0"/>
                <w:sz w:val="20"/>
              </w:rPr>
              <w:t>прямая</w:t>
            </w:r>
          </w:p>
        </w:tc>
        <w:tc>
          <w:tcPr>
            <w:tcW w:type="dxa" w:w="1559"/>
          </w:tcPr>
          <w:p>
            <w:r/>
            <w:r>
              <w:rPr>
                <w:rFonts w:ascii="Calibri" w:hAnsi="Calibri" w:eastAsia="Calibri"/>
                <w:b w:val="0"/>
                <w:i w:val="0"/>
                <w:sz w:val="20"/>
              </w:rPr>
              <w:t>Решение Конституционного суда (ноябрь 2023) о подаче жалобы e‑mail; Апелациони суд у Нишу, Gž 1664/20 от 16.09.2020</w:t>
            </w:r>
          </w:p>
        </w:tc>
        <w:tc>
          <w:tcPr>
            <w:tcW w:type="dxa" w:w="1559"/>
          </w:tcPr>
          <w:p>
            <w:r/>
            <w:r>
              <w:rPr>
                <w:rFonts w:ascii="Calibri" w:hAnsi="Calibri" w:eastAsia="Calibri"/>
                <w:b w:val="0"/>
                <w:i w:val="0"/>
                <w:sz w:val="20"/>
              </w:rPr>
              <w:t>Электронный документ без QES для суда не подан / не подписан</w:t>
            </w:r>
          </w:p>
        </w:tc>
        <w:tc>
          <w:tcPr>
            <w:tcW w:type="dxa" w:w="1559"/>
          </w:tcPr>
          <w:p>
            <w:r/>
            <w:hyperlink r:id="rId32">
              <w:r>
                <w:rPr>
                  <w:color w:val="0563C1"/>
                  <w:u w:val="single"/>
                  <w:sz w:val="18"/>
                  <w:rFonts w:ascii="Calibri" w:hAnsi="Calibri"/>
                </w:rPr>
                <w:t xml:space="preserve">PR Legal: Constitutional Court, XI.2023</w:t>
              </w:r>
            </w:hyperlink>
          </w:p>
        </w:tc>
      </w:tr>
      <w:tr>
        <w:tc>
          <w:tcPr>
            <w:tcW w:type="dxa" w:w="1559"/>
          </w:tcPr>
          <w:p>
            <w:r/>
            <w:r>
              <w:rPr>
                <w:rFonts w:ascii="Calibri" w:hAnsi="Calibri" w:eastAsia="Calibri"/>
                <w:b/>
                <w:i w:val="0"/>
                <w:sz w:val="20"/>
              </w:rPr>
              <w:t>Сербия</w:t>
            </w:r>
          </w:p>
        </w:tc>
        <w:tc>
          <w:tcPr>
            <w:tcW w:type="dxa" w:w="1559"/>
          </w:tcPr>
          <w:p>
            <w:r/>
            <w:r>
              <w:rPr>
                <w:rFonts w:ascii="Calibri" w:hAnsi="Calibri" w:eastAsia="Calibri"/>
                <w:b w:val="0"/>
                <w:i w:val="0"/>
                <w:sz w:val="20"/>
              </w:rPr>
              <w:t>ОТ / обучение</w:t>
            </w:r>
          </w:p>
        </w:tc>
        <w:tc>
          <w:tcPr>
            <w:tcW w:type="dxa" w:w="1559"/>
          </w:tcPr>
          <w:p>
            <w:r/>
            <w:r>
              <w:rPr>
                <w:rFonts w:ascii="Calibri" w:hAnsi="Calibri" w:eastAsia="Calibri"/>
                <w:b w:val="0"/>
                <w:i w:val="0"/>
                <w:sz w:val="20"/>
              </w:rPr>
              <w:t>аналогия</w:t>
            </w:r>
          </w:p>
        </w:tc>
        <w:tc>
          <w:tcPr>
            <w:tcW w:type="dxa" w:w="1559"/>
          </w:tcPr>
          <w:p>
            <w:r/>
            <w:r>
              <w:rPr>
                <w:rFonts w:ascii="Calibri" w:hAnsi="Calibri" w:eastAsia="Calibri"/>
                <w:b w:val="0"/>
                <w:i w:val="0"/>
                <w:sz w:val="20"/>
              </w:rPr>
              <w:t>Правилник Сл. гласник РС 5/2025 + аналогия Gž 1664/20 (QES как условие действительности электронного акта)</w:t>
            </w:r>
          </w:p>
        </w:tc>
        <w:tc>
          <w:tcPr>
            <w:tcW w:type="dxa" w:w="1559"/>
          </w:tcPr>
          <w:p>
            <w:r/>
            <w:r>
              <w:rPr>
                <w:rFonts w:ascii="Calibri" w:hAnsi="Calibri" w:eastAsia="Calibri"/>
                <w:b w:val="0"/>
                <w:i w:val="0"/>
                <w:sz w:val="20"/>
              </w:rPr>
              <w:t>Аналогия: электронный учёт ОТ действителен только с QES; учёт обучения (Form 6) — бумага</w:t>
            </w:r>
          </w:p>
        </w:tc>
        <w:tc>
          <w:tcPr>
            <w:tcW w:type="dxa" w:w="1559"/>
          </w:tcPr>
          <w:p>
            <w:r/>
            <w:hyperlink r:id="rId33">
              <w:r>
                <w:rPr>
                  <w:color w:val="0563C1"/>
                  <w:u w:val="single"/>
                  <w:sz w:val="18"/>
                  <w:rFonts w:ascii="Calibri" w:hAnsi="Calibri"/>
                </w:rPr>
                <w:t xml:space="preserve">Lexology: Form 6 exception</w:t>
              </w:r>
            </w:hyperlink>
          </w:p>
        </w:tc>
      </w:tr>
      <w:tr>
        <w:tc>
          <w:tcPr>
            <w:tcW w:type="dxa" w:w="1559"/>
          </w:tcPr>
          <w:p>
            <w:r/>
            <w:r>
              <w:rPr>
                <w:rFonts w:ascii="Calibri" w:hAnsi="Calibri" w:eastAsia="Calibri"/>
                <w:b/>
                <w:i w:val="0"/>
                <w:sz w:val="20"/>
              </w:rPr>
              <w:t>Испания</w:t>
            </w:r>
          </w:p>
        </w:tc>
        <w:tc>
          <w:tcPr>
            <w:tcW w:type="dxa" w:w="1559"/>
          </w:tcPr>
          <w:p>
            <w:r/>
            <w:r>
              <w:rPr>
                <w:rFonts w:ascii="Calibri" w:hAnsi="Calibri" w:eastAsia="Calibri"/>
                <w:b w:val="0"/>
                <w:i w:val="0"/>
                <w:sz w:val="20"/>
              </w:rPr>
              <w:t>ЭДО / подпись</w:t>
            </w:r>
          </w:p>
        </w:tc>
        <w:tc>
          <w:tcPr>
            <w:tcW w:type="dxa" w:w="1559"/>
          </w:tcPr>
          <w:p>
            <w:r/>
            <w:r>
              <w:rPr>
                <w:rFonts w:ascii="Calibri" w:hAnsi="Calibri" w:eastAsia="Calibri"/>
                <w:b w:val="0"/>
                <w:i w:val="0"/>
                <w:sz w:val="20"/>
              </w:rPr>
              <w:t>прямая</w:t>
            </w:r>
          </w:p>
        </w:tc>
        <w:tc>
          <w:tcPr>
            <w:tcW w:type="dxa" w:w="1559"/>
          </w:tcPr>
          <w:p>
            <w:r/>
            <w:r>
              <w:rPr>
                <w:rFonts w:ascii="Calibri" w:hAnsi="Calibri" w:eastAsia="Calibri"/>
                <w:b w:val="0"/>
                <w:i w:val="0"/>
                <w:sz w:val="20"/>
              </w:rPr>
              <w:t>STS 116/2025, 13.02.2025 (ECLI:ES:TS:2025:634); Ley 6/2020 → LEC art. 326.4</w:t>
            </w:r>
          </w:p>
        </w:tc>
        <w:tc>
          <w:tcPr>
            <w:tcW w:type="dxa" w:w="1559"/>
          </w:tcPr>
          <w:p>
            <w:r/>
            <w:r>
              <w:rPr>
                <w:rFonts w:ascii="Calibri" w:hAnsi="Calibri" w:eastAsia="Calibri"/>
                <w:b w:val="0"/>
                <w:i w:val="0"/>
                <w:sz w:val="20"/>
              </w:rPr>
              <w:t>Два режима электронной доказательства: квалифицированный сервис (презумпция) и pantallazos (свободная оценка)</w:t>
            </w:r>
          </w:p>
        </w:tc>
        <w:tc>
          <w:tcPr>
            <w:tcW w:type="dxa" w:w="1559"/>
          </w:tcPr>
          <w:p>
            <w:r/>
            <w:hyperlink r:id="rId34">
              <w:r>
                <w:rPr>
                  <w:color w:val="0563C1"/>
                  <w:u w:val="single"/>
                  <w:sz w:val="18"/>
                  <w:rFonts w:ascii="Calibri" w:hAnsi="Calibri"/>
                </w:rPr>
                <w:t xml:space="preserve">Ley 6/2020 / LEC 326.4</w:t>
              </w:r>
            </w:hyperlink>
          </w:p>
        </w:tc>
      </w:tr>
      <w:tr>
        <w:tc>
          <w:tcPr>
            <w:tcW w:type="dxa" w:w="1559"/>
          </w:tcPr>
          <w:p>
            <w:r/>
            <w:r>
              <w:rPr>
                <w:rFonts w:ascii="Calibri" w:hAnsi="Calibri" w:eastAsia="Calibri"/>
                <w:b/>
                <w:i w:val="0"/>
                <w:sz w:val="20"/>
              </w:rPr>
              <w:t>Испания</w:t>
            </w:r>
          </w:p>
        </w:tc>
        <w:tc>
          <w:tcPr>
            <w:tcW w:type="dxa" w:w="1559"/>
          </w:tcPr>
          <w:p>
            <w:r/>
            <w:r>
              <w:rPr>
                <w:rFonts w:ascii="Calibri" w:hAnsi="Calibri" w:eastAsia="Calibri"/>
                <w:b w:val="0"/>
                <w:i w:val="0"/>
                <w:sz w:val="20"/>
              </w:rPr>
              <w:t>ОТ / обучение</w:t>
            </w:r>
          </w:p>
        </w:tc>
        <w:tc>
          <w:tcPr>
            <w:tcW w:type="dxa" w:w="1559"/>
          </w:tcPr>
          <w:p>
            <w:r/>
            <w:r>
              <w:rPr>
                <w:rFonts w:ascii="Calibri" w:hAnsi="Calibri" w:eastAsia="Calibri"/>
                <w:b w:val="0"/>
                <w:i w:val="0"/>
                <w:sz w:val="20"/>
              </w:rPr>
              <w:t>аналогия</w:t>
            </w:r>
          </w:p>
        </w:tc>
        <w:tc>
          <w:tcPr>
            <w:tcW w:type="dxa" w:w="1559"/>
          </w:tcPr>
          <w:p>
            <w:r/>
            <w:r>
              <w:rPr>
                <w:rFonts w:ascii="Calibri" w:hAnsi="Calibri" w:eastAsia="Calibri"/>
                <w:b w:val="0"/>
                <w:i w:val="0"/>
                <w:sz w:val="20"/>
              </w:rPr>
              <w:t>LPRL art. 19 + режим LEC 326.4 / eIDAS для трудовых электронных документов (аналогия)</w:t>
            </w:r>
          </w:p>
        </w:tc>
        <w:tc>
          <w:tcPr>
            <w:tcW w:type="dxa" w:w="1559"/>
          </w:tcPr>
          <w:p>
            <w:r/>
            <w:r>
              <w:rPr>
                <w:rFonts w:ascii="Calibri" w:hAnsi="Calibri" w:eastAsia="Calibri"/>
                <w:b w:val="0"/>
                <w:i w:val="0"/>
                <w:sz w:val="20"/>
              </w:rPr>
              <w:t>Аналогия: обучение по art. 19 LPRL доказывается по общим правилам электронных документов, запрета e‑журнала нет</w:t>
            </w:r>
          </w:p>
        </w:tc>
        <w:tc>
          <w:tcPr>
            <w:tcW w:type="dxa" w:w="1559"/>
          </w:tcPr>
          <w:p>
            <w:r/>
            <w:hyperlink r:id="rId35">
              <w:r>
                <w:rPr>
                  <w:color w:val="0563C1"/>
                  <w:u w:val="single"/>
                  <w:sz w:val="18"/>
                  <w:rFonts w:ascii="Calibri" w:hAnsi="Calibri"/>
                </w:rPr>
                <w:t xml:space="preserve">LPRL 31/1995</w:t>
              </w:r>
            </w:hyperlink>
          </w:p>
        </w:tc>
      </w:tr>
      <w:tr>
        <w:tc>
          <w:tcPr>
            <w:tcW w:type="dxa" w:w="1559"/>
          </w:tcPr>
          <w:p>
            <w:r/>
            <w:r>
              <w:rPr>
                <w:rFonts w:ascii="Calibri" w:hAnsi="Calibri" w:eastAsia="Calibri"/>
                <w:b/>
                <w:i w:val="0"/>
                <w:sz w:val="20"/>
              </w:rPr>
              <w:t>Ирландия</w:t>
            </w:r>
          </w:p>
        </w:tc>
        <w:tc>
          <w:tcPr>
            <w:tcW w:type="dxa" w:w="1559"/>
          </w:tcPr>
          <w:p>
            <w:r/>
            <w:r>
              <w:rPr>
                <w:rFonts w:ascii="Calibri" w:hAnsi="Calibri" w:eastAsia="Calibri"/>
                <w:b w:val="0"/>
                <w:i w:val="0"/>
                <w:sz w:val="20"/>
              </w:rPr>
              <w:t>ЭДО / подпись</w:t>
            </w:r>
          </w:p>
        </w:tc>
        <w:tc>
          <w:tcPr>
            <w:tcW w:type="dxa" w:w="1559"/>
          </w:tcPr>
          <w:p>
            <w:r/>
            <w:r>
              <w:rPr>
                <w:rFonts w:ascii="Calibri" w:hAnsi="Calibri" w:eastAsia="Calibri"/>
                <w:b w:val="0"/>
                <w:i w:val="0"/>
                <w:sz w:val="20"/>
              </w:rPr>
              <w:t>прямая</w:t>
            </w:r>
          </w:p>
        </w:tc>
        <w:tc>
          <w:tcPr>
            <w:tcW w:type="dxa" w:w="1559"/>
          </w:tcPr>
          <w:p>
            <w:r/>
            <w:r>
              <w:rPr>
                <w:rFonts w:ascii="Calibri" w:hAnsi="Calibri" w:eastAsia="Calibri"/>
                <w:b w:val="0"/>
                <w:i w:val="0"/>
                <w:sz w:val="20"/>
              </w:rPr>
              <w:t>Ryanair Ltd v Billigfluege.de GmbH [2010] IEHC 47 (26 February 2010)</w:t>
            </w:r>
          </w:p>
        </w:tc>
        <w:tc>
          <w:tcPr>
            <w:tcW w:type="dxa" w:w="1559"/>
          </w:tcPr>
          <w:p>
            <w:r/>
            <w:r>
              <w:rPr>
                <w:rFonts w:ascii="Calibri" w:hAnsi="Calibri" w:eastAsia="Calibri"/>
                <w:b w:val="0"/>
                <w:i w:val="0"/>
                <w:sz w:val="20"/>
              </w:rPr>
              <w:t>Электронные условия сайта образуют договор, если доведены до пользователя</w:t>
            </w:r>
          </w:p>
        </w:tc>
        <w:tc>
          <w:tcPr>
            <w:tcW w:type="dxa" w:w="1559"/>
          </w:tcPr>
          <w:p>
            <w:r/>
            <w:hyperlink r:id="rId36">
              <w:r>
                <w:rPr>
                  <w:color w:val="0563C1"/>
                  <w:u w:val="single"/>
                  <w:sz w:val="18"/>
                  <w:rFonts w:ascii="Calibri" w:hAnsi="Calibri"/>
                </w:rPr>
                <w:t xml:space="preserve">BAILII: [2010] IEHC 47</w:t>
              </w:r>
            </w:hyperlink>
          </w:p>
        </w:tc>
      </w:tr>
      <w:tr>
        <w:tc>
          <w:tcPr>
            <w:tcW w:type="dxa" w:w="1559"/>
          </w:tcPr>
          <w:p>
            <w:r/>
            <w:r>
              <w:rPr>
                <w:rFonts w:ascii="Calibri" w:hAnsi="Calibri" w:eastAsia="Calibri"/>
                <w:b/>
                <w:i w:val="0"/>
                <w:sz w:val="20"/>
              </w:rPr>
              <w:t>Ирландия</w:t>
            </w:r>
          </w:p>
        </w:tc>
        <w:tc>
          <w:tcPr>
            <w:tcW w:type="dxa" w:w="1559"/>
          </w:tcPr>
          <w:p>
            <w:r/>
            <w:r>
              <w:rPr>
                <w:rFonts w:ascii="Calibri" w:hAnsi="Calibri" w:eastAsia="Calibri"/>
                <w:b w:val="0"/>
                <w:i w:val="0"/>
                <w:sz w:val="20"/>
              </w:rPr>
              <w:t>ОТ / обучение</w:t>
            </w:r>
          </w:p>
        </w:tc>
        <w:tc>
          <w:tcPr>
            <w:tcW w:type="dxa" w:w="1559"/>
          </w:tcPr>
          <w:p>
            <w:r/>
            <w:r>
              <w:rPr>
                <w:rFonts w:ascii="Calibri" w:hAnsi="Calibri" w:eastAsia="Calibri"/>
                <w:b w:val="0"/>
                <w:i w:val="0"/>
                <w:sz w:val="20"/>
              </w:rPr>
              <w:t>аналогия</w:t>
            </w:r>
          </w:p>
        </w:tc>
        <w:tc>
          <w:tcPr>
            <w:tcW w:type="dxa" w:w="1559"/>
          </w:tcPr>
          <w:p>
            <w:r/>
            <w:r>
              <w:rPr>
                <w:rFonts w:ascii="Calibri" w:hAnsi="Calibri" w:eastAsia="Calibri"/>
                <w:b w:val="0"/>
                <w:i w:val="0"/>
                <w:sz w:val="20"/>
              </w:rPr>
              <w:t>Redmond v Tallaght University Hospital [2024] IEHC 167 (13 March 2024)</w:t>
            </w:r>
          </w:p>
        </w:tc>
        <w:tc>
          <w:tcPr>
            <w:tcW w:type="dxa" w:w="1559"/>
          </w:tcPr>
          <w:p>
            <w:r/>
            <w:r>
              <w:rPr>
                <w:rFonts w:ascii="Calibri" w:hAnsi="Calibri" w:eastAsia="Calibri"/>
                <w:b w:val="0"/>
                <w:i w:val="0"/>
                <w:sz w:val="20"/>
              </w:rPr>
              <w:t>Аналогия: в споре по ОТ суд проверяет реальность и предметность обучения, а не форму журнала</w:t>
            </w:r>
          </w:p>
        </w:tc>
        <w:tc>
          <w:tcPr>
            <w:tcW w:type="dxa" w:w="1559"/>
          </w:tcPr>
          <w:p>
            <w:r/>
            <w:hyperlink r:id="rId37">
              <w:r>
                <w:rPr>
                  <w:color w:val="0563C1"/>
                  <w:u w:val="single"/>
                  <w:sz w:val="18"/>
                  <w:rFonts w:ascii="Calibri" w:hAnsi="Calibri"/>
                </w:rPr>
                <w:t xml:space="preserve">[2024] IEHC 167 (BAILII)</w:t>
              </w:r>
            </w:hyperlink>
          </w:p>
        </w:tc>
      </w:tr>
      <w:tr>
        <w:tc>
          <w:tcPr>
            <w:tcW w:type="dxa" w:w="1559"/>
          </w:tcPr>
          <w:p>
            <w:r/>
            <w:r>
              <w:rPr>
                <w:rFonts w:ascii="Calibri" w:hAnsi="Calibri" w:eastAsia="Calibri"/>
                <w:b/>
                <w:i w:val="0"/>
                <w:sz w:val="20"/>
              </w:rPr>
              <w:t>Франция</w:t>
            </w:r>
          </w:p>
        </w:tc>
        <w:tc>
          <w:tcPr>
            <w:tcW w:type="dxa" w:w="1559"/>
          </w:tcPr>
          <w:p>
            <w:r/>
            <w:r>
              <w:rPr>
                <w:rFonts w:ascii="Calibri" w:hAnsi="Calibri" w:eastAsia="Calibri"/>
                <w:b w:val="0"/>
                <w:i w:val="0"/>
                <w:sz w:val="20"/>
              </w:rPr>
              <w:t>ЭДО / подпись</w:t>
            </w:r>
          </w:p>
        </w:tc>
        <w:tc>
          <w:tcPr>
            <w:tcW w:type="dxa" w:w="1559"/>
          </w:tcPr>
          <w:p>
            <w:r/>
            <w:r>
              <w:rPr>
                <w:rFonts w:ascii="Calibri" w:hAnsi="Calibri" w:eastAsia="Calibri"/>
                <w:b w:val="0"/>
                <w:i w:val="0"/>
                <w:sz w:val="20"/>
              </w:rPr>
              <w:t>прямая</w:t>
            </w:r>
          </w:p>
        </w:tc>
        <w:tc>
          <w:tcPr>
            <w:tcW w:type="dxa" w:w="1559"/>
          </w:tcPr>
          <w:p>
            <w:r/>
            <w:r>
              <w:rPr>
                <w:rFonts w:ascii="Calibri" w:hAnsi="Calibri" w:eastAsia="Calibri"/>
                <w:b w:val="0"/>
                <w:i w:val="0"/>
                <w:sz w:val="20"/>
              </w:rPr>
              <w:t>Cass. civ. 3e, 5 mars 2026, n° 24‑21.034 (ECLI:FR:CCASS:2026:C300142)</w:t>
            </w:r>
          </w:p>
        </w:tc>
        <w:tc>
          <w:tcPr>
            <w:tcW w:type="dxa" w:w="1559"/>
          </w:tcPr>
          <w:p>
            <w:r/>
            <w:r>
              <w:rPr>
                <w:rFonts w:ascii="Calibri" w:hAnsi="Calibri" w:eastAsia="Calibri"/>
                <w:b w:val="0"/>
                <w:i w:val="0"/>
                <w:sz w:val="20"/>
              </w:rPr>
              <w:t>Презумпция надёжности электронной подписи — только если это QES</w:t>
            </w:r>
          </w:p>
        </w:tc>
        <w:tc>
          <w:tcPr>
            <w:tcW w:type="dxa" w:w="1559"/>
          </w:tcPr>
          <w:p>
            <w:r/>
            <w:hyperlink r:id="rId38">
              <w:r>
                <w:rPr>
                  <w:color w:val="0563C1"/>
                  <w:u w:val="single"/>
                  <w:sz w:val="18"/>
                  <w:rFonts w:ascii="Calibri" w:hAnsi="Calibri"/>
                </w:rPr>
                <w:t xml:space="preserve">Legalis: arrêt 5 mars 2026</w:t>
              </w:r>
            </w:hyperlink>
          </w:p>
        </w:tc>
      </w:tr>
      <w:tr>
        <w:tc>
          <w:tcPr>
            <w:tcW w:type="dxa" w:w="1559"/>
          </w:tcPr>
          <w:p>
            <w:r/>
            <w:r>
              <w:rPr>
                <w:rFonts w:ascii="Calibri" w:hAnsi="Calibri" w:eastAsia="Calibri"/>
                <w:b/>
                <w:i w:val="0"/>
                <w:sz w:val="20"/>
              </w:rPr>
              <w:t>Франция</w:t>
            </w:r>
          </w:p>
        </w:tc>
        <w:tc>
          <w:tcPr>
            <w:tcW w:type="dxa" w:w="1559"/>
          </w:tcPr>
          <w:p>
            <w:r/>
            <w:r>
              <w:rPr>
                <w:rFonts w:ascii="Calibri" w:hAnsi="Calibri" w:eastAsia="Calibri"/>
                <w:b w:val="0"/>
                <w:i w:val="0"/>
                <w:sz w:val="20"/>
              </w:rPr>
              <w:t>ОТ / обучение</w:t>
            </w:r>
          </w:p>
        </w:tc>
        <w:tc>
          <w:tcPr>
            <w:tcW w:type="dxa" w:w="1559"/>
          </w:tcPr>
          <w:p>
            <w:r/>
            <w:r>
              <w:rPr>
                <w:rFonts w:ascii="Calibri" w:hAnsi="Calibri" w:eastAsia="Calibri"/>
                <w:b w:val="0"/>
                <w:i w:val="0"/>
                <w:sz w:val="20"/>
              </w:rPr>
              <w:t>аналогия</w:t>
            </w:r>
          </w:p>
        </w:tc>
        <w:tc>
          <w:tcPr>
            <w:tcW w:type="dxa" w:w="1559"/>
          </w:tcPr>
          <w:p>
            <w:r/>
            <w:r>
              <w:rPr>
                <w:rFonts w:ascii="Calibri" w:hAnsi="Calibri" w:eastAsia="Calibri"/>
                <w:b w:val="0"/>
                <w:i w:val="0"/>
                <w:sz w:val="20"/>
              </w:rPr>
              <w:t>Cass. soc., 28 février 2024, n° 22‑15.624; дополнительно Cass. soc., 14 décembre 2022, n° 21‑19.841</w:t>
            </w:r>
          </w:p>
        </w:tc>
        <w:tc>
          <w:tcPr>
            <w:tcW w:type="dxa" w:w="1559"/>
          </w:tcPr>
          <w:p>
            <w:r/>
            <w:r>
              <w:rPr>
                <w:rFonts w:ascii="Calibri" w:hAnsi="Calibri" w:eastAsia="Calibri"/>
                <w:b w:val="0"/>
                <w:i w:val="0"/>
                <w:sz w:val="20"/>
              </w:rPr>
              <w:t>Аналогия: бремя мер безопасности на работодателе; скан подписи ≠ электронная подпись</w:t>
            </w:r>
          </w:p>
        </w:tc>
        <w:tc>
          <w:tcPr>
            <w:tcW w:type="dxa" w:w="1559"/>
          </w:tcPr>
          <w:p>
            <w:r/>
            <w:hyperlink r:id="rId39">
              <w:r>
                <w:rPr>
                  <w:color w:val="0563C1"/>
                  <w:u w:val="single"/>
                  <w:sz w:val="18"/>
                  <w:rFonts w:ascii="Calibri" w:hAnsi="Calibri"/>
                </w:rPr>
                <w:t xml:space="preserve">22‑15.624, обзор</w:t>
              </w:r>
            </w:hyperlink>
          </w:p>
        </w:tc>
      </w:tr>
      <w:tr>
        <w:tc>
          <w:tcPr>
            <w:tcW w:type="dxa" w:w="1559"/>
          </w:tcPr>
          <w:p>
            <w:r/>
            <w:r>
              <w:rPr>
                <w:rFonts w:ascii="Calibri" w:hAnsi="Calibri" w:eastAsia="Calibri"/>
                <w:b/>
                <w:i w:val="0"/>
                <w:sz w:val="20"/>
              </w:rPr>
              <w:t>Кения</w:t>
            </w:r>
          </w:p>
        </w:tc>
        <w:tc>
          <w:tcPr>
            <w:tcW w:type="dxa" w:w="1559"/>
          </w:tcPr>
          <w:p>
            <w:r/>
            <w:r>
              <w:rPr>
                <w:rFonts w:ascii="Calibri" w:hAnsi="Calibri" w:eastAsia="Calibri"/>
                <w:b w:val="0"/>
                <w:i w:val="0"/>
                <w:sz w:val="20"/>
              </w:rPr>
              <w:t>ЭДО / подпись</w:t>
            </w:r>
          </w:p>
        </w:tc>
        <w:tc>
          <w:tcPr>
            <w:tcW w:type="dxa" w:w="1559"/>
          </w:tcPr>
          <w:p>
            <w:r/>
            <w:r>
              <w:rPr>
                <w:rFonts w:ascii="Calibri" w:hAnsi="Calibri" w:eastAsia="Calibri"/>
                <w:b w:val="0"/>
                <w:i w:val="0"/>
                <w:sz w:val="20"/>
              </w:rPr>
              <w:t>прямая</w:t>
            </w:r>
          </w:p>
        </w:tc>
        <w:tc>
          <w:tcPr>
            <w:tcW w:type="dxa" w:w="1559"/>
          </w:tcPr>
          <w:p>
            <w:r/>
            <w:r>
              <w:rPr>
                <w:rFonts w:ascii="Calibri" w:hAnsi="Calibri" w:eastAsia="Calibri"/>
                <w:b w:val="0"/>
                <w:i w:val="0"/>
                <w:sz w:val="20"/>
              </w:rPr>
              <w:t>Dardanelli &amp; 6 others v Tilito &amp; 3 others (Land Case E041 of 2024) [2025] KEELC 392 (KLR) (6 February 2025)</w:t>
            </w:r>
          </w:p>
        </w:tc>
        <w:tc>
          <w:tcPr>
            <w:tcW w:type="dxa" w:w="1559"/>
          </w:tcPr>
          <w:p>
            <w:r/>
            <w:r>
              <w:rPr>
                <w:rFonts w:ascii="Calibri" w:hAnsi="Calibri" w:eastAsia="Calibri"/>
                <w:b w:val="0"/>
                <w:i w:val="0"/>
                <w:sz w:val="20"/>
              </w:rPr>
              <w:t>Электронный аффидевит без сертификата s. 106B недопустим</w:t>
            </w:r>
          </w:p>
        </w:tc>
        <w:tc>
          <w:tcPr>
            <w:tcW w:type="dxa" w:w="1559"/>
          </w:tcPr>
          <w:p>
            <w:r/>
            <w:hyperlink r:id="rId40">
              <w:r>
                <w:rPr>
                  <w:color w:val="0563C1"/>
                  <w:u w:val="single"/>
                  <w:sz w:val="18"/>
                  <w:rFonts w:ascii="Calibri" w:hAnsi="Calibri"/>
                </w:rPr>
                <w:t xml:space="preserve">Kenya Law: [2025] KEELC 392</w:t>
              </w:r>
            </w:hyperlink>
          </w:p>
        </w:tc>
      </w:tr>
      <w:tr>
        <w:tc>
          <w:tcPr>
            <w:tcW w:type="dxa" w:w="1559"/>
          </w:tcPr>
          <w:p>
            <w:r/>
            <w:r>
              <w:rPr>
                <w:rFonts w:ascii="Calibri" w:hAnsi="Calibri" w:eastAsia="Calibri"/>
                <w:b/>
                <w:i w:val="0"/>
                <w:sz w:val="20"/>
              </w:rPr>
              <w:t>Кения</w:t>
            </w:r>
          </w:p>
        </w:tc>
        <w:tc>
          <w:tcPr>
            <w:tcW w:type="dxa" w:w="1559"/>
          </w:tcPr>
          <w:p>
            <w:r/>
            <w:r>
              <w:rPr>
                <w:rFonts w:ascii="Calibri" w:hAnsi="Calibri" w:eastAsia="Calibri"/>
                <w:b w:val="0"/>
                <w:i w:val="0"/>
                <w:sz w:val="20"/>
              </w:rPr>
              <w:t>ОТ / обучение</w:t>
            </w:r>
          </w:p>
        </w:tc>
        <w:tc>
          <w:tcPr>
            <w:tcW w:type="dxa" w:w="1559"/>
          </w:tcPr>
          <w:p>
            <w:r/>
            <w:r>
              <w:rPr>
                <w:rFonts w:ascii="Calibri" w:hAnsi="Calibri" w:eastAsia="Calibri"/>
                <w:b w:val="0"/>
                <w:i w:val="0"/>
                <w:sz w:val="20"/>
              </w:rPr>
              <w:t>аналогия</w:t>
            </w:r>
          </w:p>
        </w:tc>
        <w:tc>
          <w:tcPr>
            <w:tcW w:type="dxa" w:w="1559"/>
          </w:tcPr>
          <w:p>
            <w:r/>
            <w:r>
              <w:rPr>
                <w:rFonts w:ascii="Calibri" w:hAnsi="Calibri" w:eastAsia="Calibri"/>
                <w:b w:val="0"/>
                <w:i w:val="0"/>
                <w:sz w:val="20"/>
              </w:rPr>
              <w:t>Bigot Flowers (Kenya) Ltd v Cheboswony [2022] KEELRC 3772 (KLR) (10 May 2022)</w:t>
            </w:r>
          </w:p>
        </w:tc>
        <w:tc>
          <w:tcPr>
            <w:tcW w:type="dxa" w:w="1559"/>
          </w:tcPr>
          <w:p>
            <w:r/>
            <w:r>
              <w:rPr>
                <w:rFonts w:ascii="Calibri" w:hAnsi="Calibri" w:eastAsia="Calibri"/>
                <w:b w:val="0"/>
                <w:i w:val="0"/>
                <w:sz w:val="20"/>
              </w:rPr>
              <w:t>Аналогия: ответственность occupier за необучение (OSHA s. 99) — без спора о носителе журнала</w:t>
            </w:r>
          </w:p>
        </w:tc>
        <w:tc>
          <w:tcPr>
            <w:tcW w:type="dxa" w:w="1559"/>
          </w:tcPr>
          <w:p>
            <w:r/>
            <w:hyperlink r:id="rId41">
              <w:r>
                <w:rPr>
                  <w:color w:val="0563C1"/>
                  <w:u w:val="single"/>
                  <w:sz w:val="18"/>
                  <w:rFonts w:ascii="Calibri" w:hAnsi="Calibri"/>
                </w:rPr>
                <w:t xml:space="preserve">[2022] KEELRC 3772 (PDF)</w:t>
              </w:r>
            </w:hyperlink>
          </w:p>
        </w:tc>
      </w:tr>
    </w:tbl>
    <w:p/>
    <w:p>
      <w:pPr>
        <w:spacing w:line="360" w:lineRule="auto"/>
        <w:ind w:firstLine="709"/>
      </w:pPr>
      <w:r>
        <w:rPr>
          <w:rFonts w:ascii="Times New Roman" w:hAnsi="Times New Roman" w:eastAsia="Times New Roman"/>
          <w:b w:val="0"/>
          <w:i w:val="0"/>
          <w:sz w:val="28"/>
        </w:rPr>
        <w:t>Сквозной зарубежный вывод совпадает с российским «Винлабом» и с ВС 49‑АД24‑22‑К6: суд проверяет, было ли реальное волеизъявление и реальное обучение, а не сам факт клика. BGH требует, чтобы QES дошла в проверяемом виде (Zugang). Французская кассация не считает скан электронной подписью. Кенийский суд снимает запись без 106B. Ирландский Redmond 2024 бьёт по пробелу оценки рисков, не по журналу. Ни одно из дел не формулирует правило «электронный журнал ОТ всегда ничтожен».</w:t>
      </w:r>
    </w:p>
    <w:p>
      <w:pPr>
        <w:pStyle w:val="Heading1"/>
        <w:ind w:firstLine="0"/>
      </w:pPr>
      <w:r>
        <w:rPr>
          <w:rFonts w:ascii="Times New Roman" w:hAnsi="Times New Roman" w:eastAsia="Times New Roman"/>
          <w:b/>
          <w:i w:val="0"/>
          <w:color w:val="1F4E79"/>
          <w:sz w:val="28"/>
        </w:rPr>
        <w:t>5. Преимущества и риски простой электронной подписи в трудовых отношениях</w:t>
      </w:r>
    </w:p>
    <w:p>
      <w:pPr>
        <w:spacing w:line="360" w:lineRule="auto"/>
        <w:ind w:firstLine="709"/>
      </w:pPr>
      <w:r>
        <w:rPr>
          <w:rFonts w:ascii="Times New Roman" w:hAnsi="Times New Roman" w:eastAsia="Times New Roman"/>
          <w:b w:val="0"/>
          <w:i w:val="0"/>
          <w:sz w:val="28"/>
        </w:rPr>
        <w:t>Как и в отчёте Сколково, на массовом кадровом контуре работник обычно использует ПЭП, руководитель — усиленную. Это экономический выбор: стоимость ПЭП ниже УКЭП. Преимущества ПЭП (удобство, скорость, меньше бумаги, аудит, удалённость) сохраняются. Риски тоже: компрометация логина, подпись «за другого», клик без понимания, утрата данных у подрядчика.</w:t>
      </w:r>
    </w:p>
    <w:p>
      <w:pPr>
        <w:ind w:firstLine="0"/>
        <w:jc w:val="center"/>
      </w:pPr>
      <w:r>
        <w:rPr>
          <w:rFonts w:ascii="Times New Roman" w:hAnsi="Times New Roman" w:eastAsia="Times New Roman"/>
          <w:b w:val="0"/>
          <w:i/>
          <w:sz w:val="24"/>
        </w:rPr>
        <w:t>Таблица 5 — Риски ПЭП в кадровом ЭДО и способы защиты</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1F4E79" w:val="clear"/>
          </w:tcPr>
          <w:p>
            <w:r/>
            <w:r>
              <w:rPr>
                <w:rFonts w:ascii="Calibri" w:hAnsi="Calibri" w:eastAsia="Calibri"/>
                <w:b/>
                <w:i w:val="0"/>
                <w:color w:val="FFFFFF"/>
                <w:sz w:val="20"/>
              </w:rPr>
              <w:t>Риск</w:t>
            </w:r>
          </w:p>
        </w:tc>
        <w:tc>
          <w:tcPr>
            <w:tcW w:type="dxa" w:w="2339"/>
            <w:shd w:fill="1F4E79" w:val="clear"/>
          </w:tcPr>
          <w:p>
            <w:r/>
            <w:r>
              <w:rPr>
                <w:rFonts w:ascii="Calibri" w:hAnsi="Calibri" w:eastAsia="Calibri"/>
                <w:b/>
                <w:i w:val="0"/>
                <w:color w:val="FFFFFF"/>
                <w:sz w:val="20"/>
              </w:rPr>
              <w:t>Как проявляется</w:t>
            </w:r>
          </w:p>
        </w:tc>
        <w:tc>
          <w:tcPr>
            <w:tcW w:type="dxa" w:w="2339"/>
            <w:shd w:fill="1F4E79" w:val="clear"/>
          </w:tcPr>
          <w:p>
            <w:r/>
            <w:r>
              <w:rPr>
                <w:rFonts w:ascii="Calibri" w:hAnsi="Calibri" w:eastAsia="Calibri"/>
                <w:b/>
                <w:i w:val="0"/>
                <w:color w:val="FFFFFF"/>
                <w:sz w:val="20"/>
              </w:rPr>
              <w:t>Защита</w:t>
            </w:r>
          </w:p>
        </w:tc>
        <w:tc>
          <w:tcPr>
            <w:tcW w:type="dxa" w:w="2339"/>
            <w:shd w:fill="1F4E79" w:val="clear"/>
          </w:tcPr>
          <w:p>
            <w:r/>
            <w:r>
              <w:rPr>
                <w:rFonts w:ascii="Calibri" w:hAnsi="Calibri" w:eastAsia="Calibri"/>
                <w:b/>
                <w:i w:val="0"/>
                <w:color w:val="FFFFFF"/>
                <w:sz w:val="20"/>
              </w:rPr>
              <w:t>Чему учит зарубежный опыт</w:t>
            </w:r>
          </w:p>
        </w:tc>
      </w:tr>
      <w:tr>
        <w:tc>
          <w:tcPr>
            <w:tcW w:type="dxa" w:w="2339"/>
          </w:tcPr>
          <w:p>
            <w:r/>
            <w:r>
              <w:rPr>
                <w:rFonts w:ascii="Calibri" w:hAnsi="Calibri" w:eastAsia="Calibri"/>
                <w:b/>
                <w:i w:val="0"/>
                <w:sz w:val="20"/>
              </w:rPr>
              <w:t>Чужой клик / общий логин</w:t>
            </w:r>
          </w:p>
        </w:tc>
        <w:tc>
          <w:tcPr>
            <w:tcW w:type="dxa" w:w="2339"/>
          </w:tcPr>
          <w:p>
            <w:r/>
            <w:r>
              <w:rPr>
                <w:rFonts w:ascii="Calibri" w:hAnsi="Calibri" w:eastAsia="Calibri"/>
                <w:b w:val="0"/>
                <w:i w:val="0"/>
                <w:sz w:val="20"/>
              </w:rPr>
              <w:t>Код SMS ввёл коллега или бригадир (логика «Винлаба»)</w:t>
            </w:r>
          </w:p>
        </w:tc>
        <w:tc>
          <w:tcPr>
            <w:tcW w:type="dxa" w:w="2339"/>
          </w:tcPr>
          <w:p>
            <w:r/>
            <w:r>
              <w:rPr>
                <w:rFonts w:ascii="Calibri" w:hAnsi="Calibri" w:eastAsia="Calibri"/>
                <w:b w:val="0"/>
                <w:i w:val="0"/>
                <w:sz w:val="20"/>
              </w:rPr>
              <w:t>Уникальная учётная запись, запрет передачи пароля, второй фактор</w:t>
            </w:r>
          </w:p>
        </w:tc>
        <w:tc>
          <w:tcPr>
            <w:tcW w:type="dxa" w:w="2339"/>
          </w:tcPr>
          <w:p>
            <w:r/>
            <w:r>
              <w:rPr>
                <w:rFonts w:ascii="Calibri" w:hAnsi="Calibri" w:eastAsia="Calibri"/>
                <w:b w:val="0"/>
                <w:i w:val="0"/>
                <w:sz w:val="20"/>
              </w:rPr>
              <w:t>Суд исследует волю, не только валидность подписи</w:t>
            </w:r>
          </w:p>
        </w:tc>
      </w:tr>
      <w:tr>
        <w:tc>
          <w:tcPr>
            <w:tcW w:type="dxa" w:w="2339"/>
          </w:tcPr>
          <w:p>
            <w:r/>
            <w:r>
              <w:rPr>
                <w:rFonts w:ascii="Calibri" w:hAnsi="Calibri" w:eastAsia="Calibri"/>
                <w:b/>
                <w:i w:val="0"/>
                <w:sz w:val="20"/>
              </w:rPr>
              <w:t>Подмена документа после клика</w:t>
            </w:r>
          </w:p>
        </w:tc>
        <w:tc>
          <w:tcPr>
            <w:tcW w:type="dxa" w:w="2339"/>
          </w:tcPr>
          <w:p>
            <w:r/>
            <w:r>
              <w:rPr>
                <w:rFonts w:ascii="Calibri" w:hAnsi="Calibri" w:eastAsia="Calibri"/>
                <w:b w:val="0"/>
                <w:i w:val="0"/>
                <w:sz w:val="20"/>
              </w:rPr>
              <w:t>Файл изменили, подпись «висит» на старой версии</w:t>
            </w:r>
          </w:p>
        </w:tc>
        <w:tc>
          <w:tcPr>
            <w:tcW w:type="dxa" w:w="2339"/>
          </w:tcPr>
          <w:p>
            <w:r/>
            <w:r>
              <w:rPr>
                <w:rFonts w:ascii="Calibri" w:hAnsi="Calibri" w:eastAsia="Calibri"/>
                <w:b w:val="0"/>
                <w:i w:val="0"/>
                <w:sz w:val="20"/>
              </w:rPr>
              <w:t>УНЭП/УКЭП или неизменяемый audit trail</w:t>
            </w:r>
          </w:p>
        </w:tc>
        <w:tc>
          <w:tcPr>
            <w:tcW w:type="dxa" w:w="2339"/>
          </w:tcPr>
          <w:p>
            <w:r/>
            <w:r>
              <w:rPr>
                <w:rFonts w:ascii="Calibri" w:hAnsi="Calibri" w:eastAsia="Calibri"/>
                <w:b w:val="0"/>
                <w:i w:val="0"/>
                <w:sz w:val="20"/>
              </w:rPr>
              <w:t>Беларусь п. 35: защита от несанкционированных правок</w:t>
            </w:r>
          </w:p>
        </w:tc>
      </w:tr>
      <w:tr>
        <w:tc>
          <w:tcPr>
            <w:tcW w:type="dxa" w:w="2339"/>
          </w:tcPr>
          <w:p>
            <w:r/>
            <w:r>
              <w:rPr>
                <w:rFonts w:ascii="Calibri" w:hAnsi="Calibri" w:eastAsia="Calibri"/>
                <w:b/>
                <w:i w:val="0"/>
                <w:sz w:val="20"/>
              </w:rPr>
              <w:t>Нет доступа к системе</w:t>
            </w:r>
          </w:p>
        </w:tc>
        <w:tc>
          <w:tcPr>
            <w:tcW w:type="dxa" w:w="2339"/>
          </w:tcPr>
          <w:p>
            <w:r/>
            <w:r>
              <w:rPr>
                <w:rFonts w:ascii="Calibri" w:hAnsi="Calibri" w:eastAsia="Calibri"/>
                <w:b w:val="0"/>
                <w:i w:val="0"/>
                <w:sz w:val="20"/>
              </w:rPr>
              <w:t>Работник без компьютера «подписал» кадровый акт</w:t>
            </w:r>
          </w:p>
        </w:tc>
        <w:tc>
          <w:tcPr>
            <w:tcW w:type="dxa" w:w="2339"/>
          </w:tcPr>
          <w:p>
            <w:r/>
            <w:r>
              <w:rPr>
                <w:rFonts w:ascii="Calibri" w:hAnsi="Calibri" w:eastAsia="Calibri"/>
                <w:b w:val="0"/>
                <w:i w:val="0"/>
                <w:sz w:val="20"/>
              </w:rPr>
              <w:t>Рабочее место / киоск / мобильное подтверждение с фиксацией устройства</w:t>
            </w:r>
          </w:p>
        </w:tc>
        <w:tc>
          <w:tcPr>
            <w:tcW w:type="dxa" w:w="2339"/>
          </w:tcPr>
          <w:p>
            <w:r/>
            <w:r>
              <w:rPr>
                <w:rFonts w:ascii="Calibri" w:hAnsi="Calibri" w:eastAsia="Calibri"/>
                <w:b w:val="0"/>
                <w:i w:val="0"/>
                <w:sz w:val="20"/>
              </w:rPr>
              <w:t>Дело «Винлаб»: отсутствие компьютера на участке</w:t>
            </w:r>
          </w:p>
        </w:tc>
      </w:tr>
      <w:tr>
        <w:tc>
          <w:tcPr>
            <w:tcW w:type="dxa" w:w="2339"/>
          </w:tcPr>
          <w:p>
            <w:r/>
            <w:r>
              <w:rPr>
                <w:rFonts w:ascii="Calibri" w:hAnsi="Calibri" w:eastAsia="Calibri"/>
                <w:b/>
                <w:i w:val="0"/>
                <w:sz w:val="20"/>
              </w:rPr>
              <w:t>Утрата архива</w:t>
            </w:r>
          </w:p>
        </w:tc>
        <w:tc>
          <w:tcPr>
            <w:tcW w:type="dxa" w:w="2339"/>
          </w:tcPr>
          <w:p>
            <w:r/>
            <w:r>
              <w:rPr>
                <w:rFonts w:ascii="Calibri" w:hAnsi="Calibri" w:eastAsia="Calibri"/>
                <w:b w:val="0"/>
                <w:i w:val="0"/>
                <w:sz w:val="20"/>
              </w:rPr>
              <w:t>Вендор LMS закрылся, файлов нет через 10 лет</w:t>
            </w:r>
          </w:p>
        </w:tc>
        <w:tc>
          <w:tcPr>
            <w:tcW w:type="dxa" w:w="2339"/>
          </w:tcPr>
          <w:p>
            <w:r/>
            <w:r>
              <w:rPr>
                <w:rFonts w:ascii="Calibri" w:hAnsi="Calibri" w:eastAsia="Calibri"/>
                <w:b w:val="0"/>
                <w:i w:val="0"/>
                <w:sz w:val="20"/>
              </w:rPr>
              <w:t>Экспорт в нейтральном формате, срок не короче архивного</w:t>
            </w:r>
          </w:p>
        </w:tc>
        <w:tc>
          <w:tcPr>
            <w:tcW w:type="dxa" w:w="2339"/>
          </w:tcPr>
          <w:p>
            <w:r/>
            <w:r>
              <w:rPr>
                <w:rFonts w:ascii="Calibri" w:hAnsi="Calibri" w:eastAsia="Calibri"/>
                <w:b w:val="0"/>
                <w:i w:val="0"/>
                <w:sz w:val="20"/>
              </w:rPr>
              <w:t>РФ: журналы инструктажа 45 лет</w:t>
            </w:r>
          </w:p>
        </w:tc>
      </w:tr>
      <w:tr>
        <w:tc>
          <w:tcPr>
            <w:tcW w:type="dxa" w:w="2339"/>
          </w:tcPr>
          <w:p>
            <w:r/>
            <w:r>
              <w:rPr>
                <w:rFonts w:ascii="Calibri" w:hAnsi="Calibri" w:eastAsia="Calibri"/>
                <w:b/>
                <w:i w:val="0"/>
                <w:sz w:val="20"/>
              </w:rPr>
              <w:t>Скан вместо подписи</w:t>
            </w:r>
          </w:p>
        </w:tc>
        <w:tc>
          <w:tcPr>
            <w:tcW w:type="dxa" w:w="2339"/>
          </w:tcPr>
          <w:p>
            <w:r/>
            <w:r>
              <w:rPr>
                <w:rFonts w:ascii="Calibri" w:hAnsi="Calibri" w:eastAsia="Calibri"/>
                <w:b w:val="0"/>
                <w:i w:val="0"/>
                <w:sz w:val="20"/>
              </w:rPr>
              <w:t>PDF с картинкой подписи выдают за ЭП</w:t>
            </w:r>
          </w:p>
        </w:tc>
        <w:tc>
          <w:tcPr>
            <w:tcW w:type="dxa" w:w="2339"/>
          </w:tcPr>
          <w:p>
            <w:r/>
            <w:r>
              <w:rPr>
                <w:rFonts w:ascii="Calibri" w:hAnsi="Calibri" w:eastAsia="Calibri"/>
                <w:b w:val="0"/>
                <w:i w:val="0"/>
                <w:sz w:val="20"/>
              </w:rPr>
              <w:t>Запретить в ЛНА; для силы — ПЭП/УНЭП/УКЭП</w:t>
            </w:r>
          </w:p>
        </w:tc>
        <w:tc>
          <w:tcPr>
            <w:tcW w:type="dxa" w:w="2339"/>
          </w:tcPr>
          <w:p>
            <w:r/>
            <w:r>
              <w:rPr>
                <w:rFonts w:ascii="Calibri" w:hAnsi="Calibri" w:eastAsia="Calibri"/>
                <w:b w:val="0"/>
                <w:i w:val="0"/>
                <w:sz w:val="20"/>
              </w:rPr>
              <w:t>Франция: скан ≠ электронная подпись</w:t>
            </w:r>
          </w:p>
        </w:tc>
      </w:tr>
      <w:tr>
        <w:tc>
          <w:tcPr>
            <w:tcW w:type="dxa" w:w="2339"/>
          </w:tcPr>
          <w:p>
            <w:r/>
            <w:r>
              <w:rPr>
                <w:rFonts w:ascii="Calibri" w:hAnsi="Calibri" w:eastAsia="Calibri"/>
                <w:b/>
                <w:i w:val="0"/>
                <w:sz w:val="20"/>
              </w:rPr>
              <w:t>Процессуальный фильтр</w:t>
            </w:r>
          </w:p>
        </w:tc>
        <w:tc>
          <w:tcPr>
            <w:tcW w:type="dxa" w:w="2339"/>
          </w:tcPr>
          <w:p>
            <w:r/>
            <w:r>
              <w:rPr>
                <w:rFonts w:ascii="Calibri" w:hAnsi="Calibri" w:eastAsia="Calibri"/>
                <w:b w:val="0"/>
                <w:i w:val="0"/>
                <w:sz w:val="20"/>
              </w:rPr>
              <w:t>Запись есть, в суд не принимают</w:t>
            </w:r>
          </w:p>
        </w:tc>
        <w:tc>
          <w:tcPr>
            <w:tcW w:type="dxa" w:w="2339"/>
          </w:tcPr>
          <w:p>
            <w:r/>
            <w:r>
              <w:rPr>
                <w:rFonts w:ascii="Calibri" w:hAnsi="Calibri" w:eastAsia="Calibri"/>
                <w:b w:val="0"/>
                <w:i w:val="0"/>
                <w:sz w:val="20"/>
              </w:rPr>
              <w:t>Сертификат/лог системы, возможность проверить подпись</w:t>
            </w:r>
          </w:p>
        </w:tc>
        <w:tc>
          <w:tcPr>
            <w:tcW w:type="dxa" w:w="2339"/>
          </w:tcPr>
          <w:p>
            <w:r/>
            <w:r>
              <w:rPr>
                <w:rFonts w:ascii="Calibri" w:hAnsi="Calibri" w:eastAsia="Calibri"/>
                <w:b w:val="0"/>
                <w:i w:val="0"/>
                <w:sz w:val="20"/>
              </w:rPr>
              <w:t>Кения 106B; Германия Zugang</w:t>
            </w:r>
          </w:p>
        </w:tc>
      </w:tr>
    </w:tbl>
    <w:p/>
    <w:p>
      <w:pPr>
        <w:spacing w:line="360" w:lineRule="auto"/>
        <w:ind w:firstLine="709"/>
      </w:pPr>
      <w:r>
        <w:rPr>
          <w:rFonts w:ascii="Times New Roman" w:hAnsi="Times New Roman" w:eastAsia="Times New Roman"/>
          <w:b w:val="0"/>
          <w:i w:val="0"/>
          <w:sz w:val="28"/>
        </w:rPr>
        <w:t>Недостаток собственноручной подписи, на который указывал отчёт Сколково, для охраны труда особенно остёр: перед проверкой нехватающие росписи в журнале провоцируют подделку, а целостность многостраничного документа с подписью только на последнем листе не доказывается. Электронный журнал с идентификацией, меткой времени и запретом молчаливых правок закрывает именно этот риск — тот самый мотив «нельзя менять задним числом», которым Минтруд объясняет бумагу.</w:t>
      </w:r>
    </w:p>
    <w:p>
      <w:pPr>
        <w:spacing w:before="40" w:after="160"/>
        <w:ind w:firstLine="0"/>
      </w:pPr>
      <w:r>
        <w:rPr>
          <w:rFonts w:ascii="Times New Roman" w:hAnsi="Times New Roman" w:eastAsia="Times New Roman"/>
          <w:b w:val="0"/>
          <w:i/>
          <w:color w:val="535353"/>
          <w:sz w:val="22"/>
        </w:rPr>
        <w:t xml:space="preserve">Проверить: </w:t>
      </w:r>
      <w:hyperlink r:id="rId24">
        <w:r>
          <w:rPr>
            <w:color w:val="0563C1"/>
            <w:u w:val="single"/>
            <w:sz w:val="22"/>
            <w:rFonts w:ascii="Calibri" w:hAnsi="Calibri"/>
          </w:rPr>
          <w:t xml:space="preserve">Письмо Минтруда 14‑6/ООГ‑97</w:t>
        </w:r>
      </w:hyperlink>
      <w:r>
        <w:rPr>
          <w:rFonts w:ascii="Times New Roman" w:hAnsi="Times New Roman" w:eastAsia="Times New Roman"/>
          <w:b w:val="0"/>
          <w:i w:val="0"/>
          <w:color w:val="535353"/>
          <w:sz w:val="22"/>
        </w:rPr>
        <w:t xml:space="preserve">  ·  </w:t>
      </w:r>
      <w:hyperlink r:id="rId19">
        <w:r>
          <w:rPr>
            <w:color w:val="0563C1"/>
            <w:u w:val="single"/>
            <w:sz w:val="22"/>
            <w:rFonts w:ascii="Calibri" w:hAnsi="Calibri"/>
          </w:rPr>
          <w:t xml:space="preserve">Инструкция Минтруда РБ № 175, п. 35</w:t>
        </w:r>
      </w:hyperlink>
    </w:p>
    <w:p>
      <w:pPr>
        <w:pStyle w:val="Heading1"/>
        <w:ind w:firstLine="0"/>
      </w:pPr>
      <w:r>
        <w:rPr>
          <w:rFonts w:ascii="Times New Roman" w:hAnsi="Times New Roman" w:eastAsia="Times New Roman"/>
          <w:b/>
          <w:i w:val="0"/>
          <w:color w:val="1F4E79"/>
          <w:sz w:val="28"/>
        </w:rPr>
        <w:t>6. Требования к информационным системам кадрового ЭДО и СУОТ</w:t>
      </w:r>
    </w:p>
    <w:p>
      <w:pPr>
        <w:spacing w:line="360" w:lineRule="auto"/>
        <w:ind w:firstLine="709"/>
      </w:pPr>
      <w:r>
        <w:rPr>
          <w:rFonts w:ascii="Times New Roman" w:hAnsi="Times New Roman" w:eastAsia="Times New Roman"/>
          <w:b w:val="0"/>
          <w:i w:val="0"/>
          <w:sz w:val="28"/>
        </w:rPr>
        <w:t>Блок отчёта Сколково о защищённом ЭДО переносится без ломки: идентификация и аутентификация, целостность, архивирование, мониторинг и аудит, соответствие 152‑ФЗ и 63‑ФЗ. Для кадрового контура минимум такой:</w:t>
      </w:r>
    </w:p>
    <w:p>
      <w:pPr>
        <w:pStyle w:val="ListBullet"/>
        <w:spacing w:line="276" w:lineRule="auto"/>
      </w:pPr>
      <w:r>
        <w:rPr>
          <w:rFonts w:ascii="Times New Roman" w:hAnsi="Times New Roman" w:eastAsia="Times New Roman"/>
          <w:b w:val="0"/>
          <w:i w:val="0"/>
          <w:sz w:val="28"/>
        </w:rPr>
        <w:t>аутентификация по каталогу пользователей той системы, в которой подписывается документ;</w:t>
      </w:r>
    </w:p>
    <w:p>
      <w:pPr>
        <w:pStyle w:val="ListBullet"/>
        <w:spacing w:line="276" w:lineRule="auto"/>
      </w:pPr>
      <w:r>
        <w:rPr>
          <w:rFonts w:ascii="Times New Roman" w:hAnsi="Times New Roman" w:eastAsia="Times New Roman"/>
          <w:b w:val="0"/>
          <w:i w:val="0"/>
          <w:sz w:val="28"/>
        </w:rPr>
        <w:t>уникальный логин; пароль неизвестен руководителю и администратору после смены работником;</w:t>
      </w:r>
    </w:p>
    <w:p>
      <w:pPr>
        <w:pStyle w:val="ListBullet"/>
        <w:spacing w:line="276" w:lineRule="auto"/>
      </w:pPr>
      <w:r>
        <w:rPr>
          <w:rFonts w:ascii="Times New Roman" w:hAnsi="Times New Roman" w:eastAsia="Times New Roman"/>
          <w:b w:val="0"/>
          <w:i w:val="0"/>
          <w:sz w:val="28"/>
        </w:rPr>
        <w:t>регистрация факта создания ПЭП, реквизитов документа и идентификатора работника;</w:t>
      </w:r>
    </w:p>
    <w:p>
      <w:pPr>
        <w:pStyle w:val="ListBullet"/>
        <w:spacing w:line="276" w:lineRule="auto"/>
      </w:pPr>
      <w:r>
        <w:rPr>
          <w:rFonts w:ascii="Times New Roman" w:hAnsi="Times New Roman" w:eastAsia="Times New Roman"/>
          <w:b w:val="0"/>
          <w:i w:val="0"/>
          <w:sz w:val="28"/>
        </w:rPr>
        <w:t>неизменность подписанного файла либо неизменяемый журнал событий;</w:t>
      </w:r>
    </w:p>
    <w:p>
      <w:pPr>
        <w:pStyle w:val="ListBullet"/>
        <w:spacing w:line="276" w:lineRule="auto"/>
      </w:pPr>
      <w:r>
        <w:rPr>
          <w:rFonts w:ascii="Times New Roman" w:hAnsi="Times New Roman" w:eastAsia="Times New Roman"/>
          <w:b w:val="0"/>
          <w:i w:val="0"/>
          <w:sz w:val="28"/>
        </w:rPr>
        <w:t>возможность однозначного определения подписанта на весь срок хранения;</w:t>
      </w:r>
    </w:p>
    <w:p>
      <w:pPr>
        <w:pStyle w:val="ListBullet"/>
        <w:spacing w:line="276" w:lineRule="auto"/>
      </w:pPr>
      <w:r>
        <w:rPr>
          <w:rFonts w:ascii="Times New Roman" w:hAnsi="Times New Roman" w:eastAsia="Times New Roman"/>
          <w:b w:val="0"/>
          <w:i w:val="0"/>
          <w:sz w:val="28"/>
        </w:rPr>
        <w:t>запрет общего логина бригады — иначе повторяется фабула «Винлаба».</w:t>
      </w:r>
    </w:p>
    <w:p>
      <w:pPr>
        <w:spacing w:line="360" w:lineRule="auto"/>
        <w:ind w:firstLine="709"/>
      </w:pPr>
      <w:r>
        <w:rPr>
          <w:rFonts w:ascii="Times New Roman" w:hAnsi="Times New Roman" w:eastAsia="Times New Roman"/>
          <w:b w:val="0"/>
          <w:i w:val="0"/>
          <w:sz w:val="28"/>
        </w:rPr>
        <w:t>Индивидуальное российское дополнение для журналов инструктажа (если ч. 3 ст. 22.1 будет смягчена): белорусские условия п. 35 Инструкции № 175 — идентификация работника и инструктирующего, дата и время, защита от правок — плюс архивная воспроизводимость 45 лет и указание ЛНА по п. 87 Правил № 2464 (реквизит, который проверял ВС 49‑АД24‑22‑К6).</w:t>
      </w:r>
    </w:p>
    <w:p>
      <w:pPr>
        <w:spacing w:before="40" w:after="160"/>
        <w:ind w:firstLine="0"/>
      </w:pPr>
      <w:r>
        <w:rPr>
          <w:rFonts w:ascii="Times New Roman" w:hAnsi="Times New Roman" w:eastAsia="Times New Roman"/>
          <w:b w:val="0"/>
          <w:i/>
          <w:color w:val="535353"/>
          <w:sz w:val="22"/>
        </w:rPr>
        <w:t xml:space="preserve">Проверить: </w:t>
      </w:r>
      <w:hyperlink r:id="rId19">
        <w:r>
          <w:rPr>
            <w:color w:val="0563C1"/>
            <w:u w:val="single"/>
            <w:sz w:val="22"/>
            <w:rFonts w:ascii="Calibri" w:hAnsi="Calibri"/>
          </w:rPr>
          <w:t xml:space="preserve">Инструкция Минтруда РБ № 175, п. 35</w:t>
        </w:r>
      </w:hyperlink>
      <w:r>
        <w:rPr>
          <w:rFonts w:ascii="Times New Roman" w:hAnsi="Times New Roman" w:eastAsia="Times New Roman"/>
          <w:b w:val="0"/>
          <w:i w:val="0"/>
          <w:color w:val="535353"/>
          <w:sz w:val="22"/>
        </w:rPr>
        <w:t xml:space="preserve">  ·  </w:t>
      </w:r>
      <w:hyperlink r:id="rId28">
        <w:r>
          <w:rPr>
            <w:color w:val="0563C1"/>
            <w:u w:val="single"/>
            <w:sz w:val="22"/>
            <w:rFonts w:ascii="Calibri" w:hAnsi="Calibri"/>
          </w:rPr>
          <w:t xml:space="preserve">ВС РФ № 49‑АД24‑22‑К6</w:t>
        </w:r>
      </w:hyperlink>
    </w:p>
    <w:p>
      <w:pPr>
        <w:pStyle w:val="Heading1"/>
        <w:ind w:firstLine="0"/>
      </w:pPr>
      <w:r>
        <w:rPr>
          <w:rFonts w:ascii="Times New Roman" w:hAnsi="Times New Roman" w:eastAsia="Times New Roman"/>
          <w:b/>
          <w:i w:val="0"/>
          <w:color w:val="1F4E79"/>
          <w:sz w:val="28"/>
        </w:rPr>
        <w:t>7. Применение различных типов электронной подписи к документам СУОТ</w:t>
      </w:r>
    </w:p>
    <w:p>
      <w:pPr>
        <w:spacing w:line="360" w:lineRule="auto"/>
        <w:ind w:firstLine="709"/>
      </w:pPr>
      <w:r>
        <w:rPr>
          <w:rFonts w:ascii="Times New Roman" w:hAnsi="Times New Roman" w:eastAsia="Times New Roman"/>
          <w:b w:val="0"/>
          <w:i w:val="0"/>
          <w:sz w:val="28"/>
        </w:rPr>
        <w:t>В таблице № 15 отчёта Сколково предлагалось: руководителю организации — усиленная ЭП на любой документ; работнику — ПЭП; линейному руководителю — ПЭП или усиленная в зависимости от типа. Эта матрица по‑прежнему разумна как методическая. Но её нельзя читать как действующее право для журналов инструктажа: ч. 3 ст. 22.1 ТК выводит их из КЭДО. Строка «журналы регистрации инструктажей — ПЭП» в 2023 г. была предложением, не нормой.</w:t>
      </w:r>
    </w:p>
    <w:p>
      <w:pPr>
        <w:ind w:firstLine="0"/>
        <w:jc w:val="center"/>
      </w:pPr>
      <w:r>
        <w:rPr>
          <w:rFonts w:ascii="Times New Roman" w:hAnsi="Times New Roman" w:eastAsia="Times New Roman"/>
          <w:b w:val="0"/>
          <w:i/>
          <w:sz w:val="24"/>
        </w:rPr>
        <w:t>Таблица 6 — Какие документы СУОТ уже можно вести электронно в РФ, а какие нет</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fill="1F4E79" w:val="clear"/>
          </w:tcPr>
          <w:p>
            <w:r/>
            <w:r>
              <w:rPr>
                <w:rFonts w:ascii="Calibri" w:hAnsi="Calibri" w:eastAsia="Calibri"/>
                <w:b/>
                <w:i w:val="0"/>
                <w:color w:val="FFFFFF"/>
                <w:sz w:val="20"/>
              </w:rPr>
              <w:t>Документ СУОТ</w:t>
            </w:r>
          </w:p>
        </w:tc>
        <w:tc>
          <w:tcPr>
            <w:tcW w:type="dxa" w:w="1871"/>
            <w:shd w:fill="1F4E79" w:val="clear"/>
          </w:tcPr>
          <w:p>
            <w:r/>
            <w:r>
              <w:rPr>
                <w:rFonts w:ascii="Calibri" w:hAnsi="Calibri" w:eastAsia="Calibri"/>
                <w:b/>
                <w:i w:val="0"/>
                <w:color w:val="FFFFFF"/>
                <w:sz w:val="20"/>
              </w:rPr>
              <w:t>Действующий режим в РФ</w:t>
            </w:r>
          </w:p>
        </w:tc>
        <w:tc>
          <w:tcPr>
            <w:tcW w:type="dxa" w:w="1871"/>
            <w:shd w:fill="1F4E79" w:val="clear"/>
          </w:tcPr>
          <w:p>
            <w:r/>
            <w:r>
              <w:rPr>
                <w:rFonts w:ascii="Calibri" w:hAnsi="Calibri" w:eastAsia="Calibri"/>
                <w:b/>
                <w:i w:val="0"/>
                <w:color w:val="FFFFFF"/>
                <w:sz w:val="20"/>
              </w:rPr>
              <w:t>За рубежом (ядро)</w:t>
            </w:r>
          </w:p>
        </w:tc>
        <w:tc>
          <w:tcPr>
            <w:tcW w:type="dxa" w:w="1871"/>
            <w:shd w:fill="1F4E79" w:val="clear"/>
          </w:tcPr>
          <w:p>
            <w:r/>
            <w:r>
              <w:rPr>
                <w:rFonts w:ascii="Calibri" w:hAnsi="Calibri" w:eastAsia="Calibri"/>
                <w:b/>
                <w:i w:val="0"/>
                <w:color w:val="FFFFFF"/>
                <w:sz w:val="20"/>
              </w:rPr>
              <w:t>Какая подпись была бы соразмерна</w:t>
            </w:r>
          </w:p>
        </w:tc>
        <w:tc>
          <w:tcPr>
            <w:tcW w:type="dxa" w:w="1871"/>
            <w:shd w:fill="1F4E79" w:val="clear"/>
          </w:tcPr>
          <w:p>
            <w:r/>
            <w:r>
              <w:rPr>
                <w:rFonts w:ascii="Calibri" w:hAnsi="Calibri" w:eastAsia="Calibri"/>
                <w:b/>
                <w:i w:val="0"/>
                <w:color w:val="FFFFFF"/>
                <w:sz w:val="20"/>
              </w:rPr>
              <w:t>Проверить</w:t>
            </w:r>
          </w:p>
        </w:tc>
      </w:tr>
      <w:tr>
        <w:tc>
          <w:tcPr>
            <w:tcW w:type="dxa" w:w="1871"/>
          </w:tcPr>
          <w:p>
            <w:r/>
            <w:r>
              <w:rPr>
                <w:rFonts w:ascii="Calibri" w:hAnsi="Calibri" w:eastAsia="Calibri"/>
                <w:b/>
                <w:i w:val="0"/>
                <w:sz w:val="20"/>
              </w:rPr>
              <w:t>Приказы, инструкции, ознакомление с ЛНА</w:t>
            </w:r>
          </w:p>
        </w:tc>
        <w:tc>
          <w:tcPr>
            <w:tcW w:type="dxa" w:w="1871"/>
          </w:tcPr>
          <w:p>
            <w:r/>
            <w:r>
              <w:rPr>
                <w:rFonts w:ascii="Calibri" w:hAnsi="Calibri" w:eastAsia="Calibri"/>
                <w:b w:val="0"/>
                <w:i w:val="0"/>
                <w:sz w:val="20"/>
              </w:rPr>
              <w:t>КЭДО допустим (вне исключений 22.1(3))</w:t>
            </w:r>
          </w:p>
        </w:tc>
        <w:tc>
          <w:tcPr>
            <w:tcW w:type="dxa" w:w="1871"/>
          </w:tcPr>
          <w:p>
            <w:r/>
            <w:r>
              <w:rPr>
                <w:rFonts w:ascii="Calibri" w:hAnsi="Calibri" w:eastAsia="Calibri"/>
                <w:b w:val="0"/>
                <w:i w:val="0"/>
                <w:sz w:val="20"/>
              </w:rPr>
              <w:t>Electronic acknowledgement при идентификации</w:t>
            </w:r>
          </w:p>
        </w:tc>
        <w:tc>
          <w:tcPr>
            <w:tcW w:type="dxa" w:w="1871"/>
          </w:tcPr>
          <w:p>
            <w:r/>
            <w:r>
              <w:rPr>
                <w:rFonts w:ascii="Calibri" w:hAnsi="Calibri" w:eastAsia="Calibri"/>
                <w:b w:val="0"/>
                <w:i w:val="0"/>
                <w:sz w:val="20"/>
              </w:rPr>
              <w:t>ПЭП работника, УНЭП/УКЭП утверждающего</w:t>
            </w:r>
          </w:p>
        </w:tc>
        <w:tc>
          <w:tcPr>
            <w:tcW w:type="dxa" w:w="1871"/>
          </w:tcPr>
          <w:p>
            <w:r/>
            <w:hyperlink r:id="rId11">
              <w:r>
                <w:rPr>
                  <w:color w:val="0563C1"/>
                  <w:u w:val="single"/>
                  <w:sz w:val="18"/>
                  <w:rFonts w:ascii="Calibri" w:hAnsi="Calibri"/>
                </w:rPr>
                <w:t xml:space="preserve">ТК РФ, ст. 22.1–22.3</w:t>
              </w:r>
            </w:hyperlink>
          </w:p>
        </w:tc>
      </w:tr>
      <w:tr>
        <w:tc>
          <w:tcPr>
            <w:tcW w:type="dxa" w:w="1871"/>
          </w:tcPr>
          <w:p>
            <w:r/>
            <w:r>
              <w:rPr>
                <w:rFonts w:ascii="Calibri" w:hAnsi="Calibri" w:eastAsia="Calibri"/>
                <w:b/>
                <w:i w:val="0"/>
                <w:sz w:val="20"/>
              </w:rPr>
              <w:t>Протокол проверки знания</w:t>
            </w:r>
          </w:p>
        </w:tc>
        <w:tc>
          <w:tcPr>
            <w:tcW w:type="dxa" w:w="1871"/>
          </w:tcPr>
          <w:p>
            <w:r/>
            <w:r>
              <w:rPr>
                <w:rFonts w:ascii="Calibri" w:hAnsi="Calibri" w:eastAsia="Calibri"/>
                <w:b w:val="0"/>
                <w:i w:val="0"/>
                <w:sz w:val="20"/>
              </w:rPr>
              <w:t>Можно электронно, ПП 2464 п. 91–93</w:t>
            </w:r>
          </w:p>
        </w:tc>
        <w:tc>
          <w:tcPr>
            <w:tcW w:type="dxa" w:w="1871"/>
          </w:tcPr>
          <w:p>
            <w:r/>
            <w:r>
              <w:rPr>
                <w:rFonts w:ascii="Calibri" w:hAnsi="Calibri" w:eastAsia="Calibri"/>
                <w:b w:val="0"/>
                <w:i w:val="0"/>
                <w:sz w:val="20"/>
              </w:rPr>
              <w:t>TRS (SG); Form 6 в RS — бумага</w:t>
            </w:r>
          </w:p>
        </w:tc>
        <w:tc>
          <w:tcPr>
            <w:tcW w:type="dxa" w:w="1871"/>
          </w:tcPr>
          <w:p>
            <w:r/>
            <w:r>
              <w:rPr>
                <w:rFonts w:ascii="Calibri" w:hAnsi="Calibri" w:eastAsia="Calibri"/>
                <w:b w:val="0"/>
                <w:i w:val="0"/>
                <w:sz w:val="20"/>
              </w:rPr>
              <w:t>Идентификация сторон; УКЭП не обязательна у каждого рабочего</w:t>
            </w:r>
          </w:p>
        </w:tc>
        <w:tc>
          <w:tcPr>
            <w:tcW w:type="dxa" w:w="1871"/>
          </w:tcPr>
          <w:p>
            <w:r/>
            <w:hyperlink r:id="rId25">
              <w:r>
                <w:rPr>
                  <w:color w:val="0563C1"/>
                  <w:u w:val="single"/>
                  <w:sz w:val="18"/>
                  <w:rFonts w:ascii="Calibri" w:hAnsi="Calibri"/>
                </w:rPr>
                <w:t xml:space="preserve">ПП РФ № 2464</w:t>
              </w:r>
            </w:hyperlink>
          </w:p>
        </w:tc>
      </w:tr>
      <w:tr>
        <w:tc>
          <w:tcPr>
            <w:tcW w:type="dxa" w:w="1871"/>
          </w:tcPr>
          <w:p>
            <w:r/>
            <w:r>
              <w:rPr>
                <w:rFonts w:ascii="Calibri" w:hAnsi="Calibri" w:eastAsia="Calibri"/>
                <w:b/>
                <w:i w:val="0"/>
                <w:sz w:val="20"/>
              </w:rPr>
              <w:t>Журнал инструктажа</w:t>
            </w:r>
          </w:p>
        </w:tc>
        <w:tc>
          <w:tcPr>
            <w:tcW w:type="dxa" w:w="1871"/>
          </w:tcPr>
          <w:p>
            <w:r/>
            <w:r>
              <w:rPr>
                <w:rFonts w:ascii="Calibri" w:hAnsi="Calibri" w:eastAsia="Calibri"/>
                <w:b w:val="0"/>
                <w:i w:val="0"/>
                <w:sz w:val="20"/>
              </w:rPr>
              <w:t>Вне КЭДО, бумага + собственноручная подпись</w:t>
            </w:r>
          </w:p>
        </w:tc>
        <w:tc>
          <w:tcPr>
            <w:tcW w:type="dxa" w:w="1871"/>
          </w:tcPr>
          <w:p>
            <w:r/>
            <w:r>
              <w:rPr>
                <w:rFonts w:ascii="Calibri" w:hAnsi="Calibri" w:eastAsia="Calibri"/>
                <w:b w:val="0"/>
                <w:i w:val="0"/>
                <w:sz w:val="20"/>
              </w:rPr>
              <w:t>BY п. 35 — да; KZ — да с ЭЦП; OSHA — e‑records; RS Form 6 — бумага</w:t>
            </w:r>
          </w:p>
        </w:tc>
        <w:tc>
          <w:tcPr>
            <w:tcW w:type="dxa" w:w="1871"/>
          </w:tcPr>
          <w:p>
            <w:r/>
            <w:r>
              <w:rPr>
                <w:rFonts w:ascii="Calibri" w:hAnsi="Calibri" w:eastAsia="Calibri"/>
                <w:b w:val="0"/>
                <w:i w:val="0"/>
                <w:sz w:val="20"/>
              </w:rPr>
              <w:t>Идентификация + время + audit trail (модель BY), не УКЭП у каждого</w:t>
            </w:r>
          </w:p>
        </w:tc>
        <w:tc>
          <w:tcPr>
            <w:tcW w:type="dxa" w:w="1871"/>
          </w:tcPr>
          <w:p>
            <w:r/>
            <w:hyperlink r:id="rId19">
              <w:r>
                <w:rPr>
                  <w:color w:val="0563C1"/>
                  <w:u w:val="single"/>
                  <w:sz w:val="18"/>
                  <w:rFonts w:ascii="Calibri" w:hAnsi="Calibri"/>
                </w:rPr>
                <w:t xml:space="preserve">Инструкция Минтруда РБ № 175, п. 35</w:t>
              </w:r>
            </w:hyperlink>
          </w:p>
        </w:tc>
      </w:tr>
      <w:tr>
        <w:tc>
          <w:tcPr>
            <w:tcW w:type="dxa" w:w="1871"/>
          </w:tcPr>
          <w:p>
            <w:r/>
            <w:r>
              <w:rPr>
                <w:rFonts w:ascii="Calibri" w:hAnsi="Calibri" w:eastAsia="Calibri"/>
                <w:b/>
                <w:i w:val="0"/>
                <w:sz w:val="20"/>
              </w:rPr>
              <w:t>Наряд‑допуск</w:t>
            </w:r>
          </w:p>
        </w:tc>
        <w:tc>
          <w:tcPr>
            <w:tcW w:type="dxa" w:w="1871"/>
          </w:tcPr>
          <w:p>
            <w:r/>
            <w:r>
              <w:rPr>
                <w:rFonts w:ascii="Calibri" w:hAnsi="Calibri" w:eastAsia="Calibri"/>
                <w:b w:val="0"/>
                <w:i w:val="0"/>
                <w:sz w:val="20"/>
              </w:rPr>
              <w:t>Не в списке 22.1(3); на практике часто бумага</w:t>
            </w:r>
          </w:p>
        </w:tc>
        <w:tc>
          <w:tcPr>
            <w:tcW w:type="dxa" w:w="1871"/>
          </w:tcPr>
          <w:p>
            <w:r/>
            <w:r>
              <w:rPr>
                <w:rFonts w:ascii="Calibri" w:hAnsi="Calibri" w:eastAsia="Calibri"/>
                <w:b w:val="0"/>
                <w:i w:val="0"/>
                <w:sz w:val="20"/>
              </w:rPr>
              <w:t>E‑PTW обычен (UK, BY)</w:t>
            </w:r>
          </w:p>
        </w:tc>
        <w:tc>
          <w:tcPr>
            <w:tcW w:type="dxa" w:w="1871"/>
          </w:tcPr>
          <w:p>
            <w:r/>
            <w:r>
              <w:rPr>
                <w:rFonts w:ascii="Calibri" w:hAnsi="Calibri" w:eastAsia="Calibri"/>
                <w:b w:val="0"/>
                <w:i w:val="0"/>
                <w:sz w:val="20"/>
              </w:rPr>
              <w:t>ПЭП допускаемого, УНЭП допускающего</w:t>
            </w:r>
          </w:p>
        </w:tc>
        <w:tc>
          <w:tcPr>
            <w:tcW w:type="dxa" w:w="1871"/>
          </w:tcPr>
          <w:p>
            <w:r/>
            <w:hyperlink r:id="rId11">
              <w:r>
                <w:rPr>
                  <w:color w:val="0563C1"/>
                  <w:u w:val="single"/>
                  <w:sz w:val="18"/>
                  <w:rFonts w:ascii="Calibri" w:hAnsi="Calibri"/>
                </w:rPr>
                <w:t xml:space="preserve">ТК РФ, ст. 22.1–22.3</w:t>
              </w:r>
            </w:hyperlink>
          </w:p>
        </w:tc>
      </w:tr>
      <w:tr>
        <w:tc>
          <w:tcPr>
            <w:tcW w:type="dxa" w:w="1871"/>
          </w:tcPr>
          <w:p>
            <w:r/>
            <w:r>
              <w:rPr>
                <w:rFonts w:ascii="Calibri" w:hAnsi="Calibri" w:eastAsia="Calibri"/>
                <w:b/>
                <w:i w:val="0"/>
                <w:sz w:val="20"/>
              </w:rPr>
              <w:t>Карточка СИЗ</w:t>
            </w:r>
          </w:p>
        </w:tc>
        <w:tc>
          <w:tcPr>
            <w:tcW w:type="dxa" w:w="1871"/>
          </w:tcPr>
          <w:p>
            <w:r/>
            <w:r>
              <w:rPr>
                <w:rFonts w:ascii="Calibri" w:hAnsi="Calibri" w:eastAsia="Calibri"/>
                <w:b w:val="0"/>
                <w:i w:val="0"/>
                <w:sz w:val="20"/>
              </w:rPr>
              <w:t>Не названа в 22.1(3); чаще бумага</w:t>
            </w:r>
          </w:p>
        </w:tc>
        <w:tc>
          <w:tcPr>
            <w:tcW w:type="dxa" w:w="1871"/>
          </w:tcPr>
          <w:p>
            <w:r/>
            <w:r>
              <w:rPr>
                <w:rFonts w:ascii="Calibri" w:hAnsi="Calibri" w:eastAsia="Calibri"/>
                <w:b w:val="0"/>
                <w:i w:val="0"/>
                <w:sz w:val="20"/>
              </w:rPr>
              <w:t>RS Form 6 включает СИЗ и оставлен на бумаге</w:t>
            </w:r>
          </w:p>
        </w:tc>
        <w:tc>
          <w:tcPr>
            <w:tcW w:type="dxa" w:w="1871"/>
          </w:tcPr>
          <w:p>
            <w:r/>
            <w:r>
              <w:rPr>
                <w:rFonts w:ascii="Calibri" w:hAnsi="Calibri" w:eastAsia="Calibri"/>
                <w:b w:val="0"/>
                <w:i w:val="0"/>
                <w:sz w:val="20"/>
              </w:rPr>
              <w:t>ПЭП работника при выдаче</w:t>
            </w:r>
          </w:p>
        </w:tc>
        <w:tc>
          <w:tcPr>
            <w:tcW w:type="dxa" w:w="1871"/>
          </w:tcPr>
          <w:p>
            <w:r/>
            <w:hyperlink r:id="rId11">
              <w:r>
                <w:rPr>
                  <w:color w:val="0563C1"/>
                  <w:u w:val="single"/>
                  <w:sz w:val="18"/>
                  <w:rFonts w:ascii="Calibri" w:hAnsi="Calibri"/>
                </w:rPr>
                <w:t xml:space="preserve">ТК РФ, ст. 22.1–22.3</w:t>
              </w:r>
            </w:hyperlink>
          </w:p>
        </w:tc>
      </w:tr>
      <w:tr>
        <w:tc>
          <w:tcPr>
            <w:tcW w:type="dxa" w:w="1871"/>
          </w:tcPr>
          <w:p>
            <w:r/>
            <w:r>
              <w:rPr>
                <w:rFonts w:ascii="Calibri" w:hAnsi="Calibri" w:eastAsia="Calibri"/>
                <w:b/>
                <w:i w:val="0"/>
                <w:sz w:val="20"/>
              </w:rPr>
              <w:t>Акт о несчастном случае</w:t>
            </w:r>
          </w:p>
        </w:tc>
        <w:tc>
          <w:tcPr>
            <w:tcW w:type="dxa" w:w="1871"/>
          </w:tcPr>
          <w:p>
            <w:r/>
            <w:r>
              <w:rPr>
                <w:rFonts w:ascii="Calibri" w:hAnsi="Calibri" w:eastAsia="Calibri"/>
                <w:b w:val="0"/>
                <w:i w:val="0"/>
                <w:sz w:val="20"/>
              </w:rPr>
              <w:t>Вне КЭДО; Минтруд — только бумага</w:t>
            </w:r>
          </w:p>
        </w:tc>
        <w:tc>
          <w:tcPr>
            <w:tcW w:type="dxa" w:w="1871"/>
          </w:tcPr>
          <w:p>
            <w:r/>
            <w:r>
              <w:rPr>
                <w:rFonts w:ascii="Calibri" w:hAnsi="Calibri" w:eastAsia="Calibri"/>
                <w:b w:val="0"/>
                <w:i w:val="0"/>
                <w:sz w:val="20"/>
              </w:rPr>
              <w:t>Ни одна из 13 юрисдикций не копирует запрет носителя</w:t>
            </w:r>
          </w:p>
        </w:tc>
        <w:tc>
          <w:tcPr>
            <w:tcW w:type="dxa" w:w="1871"/>
          </w:tcPr>
          <w:p>
            <w:r/>
            <w:r>
              <w:rPr>
                <w:rFonts w:ascii="Calibri" w:hAnsi="Calibri" w:eastAsia="Calibri"/>
                <w:b w:val="0"/>
                <w:i w:val="0"/>
                <w:sz w:val="20"/>
              </w:rPr>
              <w:t>Отдельный тяжёлый контур, не «лёгкий» журнал</w:t>
            </w:r>
          </w:p>
        </w:tc>
        <w:tc>
          <w:tcPr>
            <w:tcW w:type="dxa" w:w="1871"/>
          </w:tcPr>
          <w:p>
            <w:r/>
            <w:hyperlink r:id="rId24">
              <w:r>
                <w:rPr>
                  <w:color w:val="0563C1"/>
                  <w:u w:val="single"/>
                  <w:sz w:val="18"/>
                  <w:rFonts w:ascii="Calibri" w:hAnsi="Calibri"/>
                </w:rPr>
                <w:t xml:space="preserve">Письмо Минтруда 14‑6/ООГ‑97</w:t>
              </w:r>
            </w:hyperlink>
          </w:p>
        </w:tc>
      </w:tr>
    </w:tbl>
    <w:p/>
    <w:p>
      <w:pPr>
        <w:spacing w:line="360" w:lineRule="auto"/>
        <w:ind w:firstLine="709"/>
      </w:pPr>
      <w:r>
        <w:rPr>
          <w:rFonts w:ascii="Times New Roman" w:hAnsi="Times New Roman" w:eastAsia="Times New Roman"/>
          <w:b w:val="0"/>
          <w:i w:val="0"/>
          <w:sz w:val="28"/>
        </w:rPr>
        <w:t>Соразмерность подписи. Отчёт Сколково верно развёл: работник — ПЭП, первое лицо — усиленная. Зарубежный опыт это подтверждает. Ошибка — требовать УКЭП у каждого инструктируемого: это убивает массовый инструктаж. Белорусская модель обходится без ЭЦП у рабочего. Казахстанская (ЭЦП обеих сторон) юридически чище и дороже во внедрении.</w:t>
      </w:r>
    </w:p>
    <w:p>
      <w:pPr>
        <w:pStyle w:val="Heading1"/>
        <w:ind w:firstLine="0"/>
      </w:pPr>
      <w:r>
        <w:rPr>
          <w:rFonts w:ascii="Times New Roman" w:hAnsi="Times New Roman" w:eastAsia="Times New Roman"/>
          <w:b/>
          <w:i w:val="0"/>
          <w:color w:val="1F4E79"/>
          <w:sz w:val="28"/>
        </w:rPr>
        <w:t>8. ЭДО и электронная подпись при проведении инструктажей по охране труда</w:t>
      </w:r>
    </w:p>
    <w:p>
      <w:pPr>
        <w:spacing w:line="360" w:lineRule="auto"/>
        <w:ind w:firstLine="709"/>
      </w:pPr>
      <w:r>
        <w:rPr>
          <w:rFonts w:ascii="Times New Roman" w:hAnsi="Times New Roman" w:eastAsia="Times New Roman"/>
          <w:b w:val="0"/>
          <w:i w:val="0"/>
          <w:sz w:val="28"/>
        </w:rPr>
        <w:t>Часть 2 ст. 22.1 ТК позволяет применять кадровый ЭДО к документам, которые по трудовому законодательству оформляются на бумаге и (или) с которыми работник знакомится. Часть 3 из этого правила вырезает подтверждение инструктажей. В 2022 г. в Госдуму вносился законопроект № 270457‑8 об исключении этого ограничения; 17 июля 2023 г. он отозван. На август 2026 г. запрет носителя сохраняется. Правила № 2464 детализируют виды инструктажей, но не отменяют ч. 3 ст. 22.1.</w:t>
      </w:r>
    </w:p>
    <w:p>
      <w:pPr>
        <w:spacing w:before="40" w:after="160"/>
        <w:ind w:firstLine="0"/>
      </w:pPr>
      <w:r>
        <w:rPr>
          <w:rFonts w:ascii="Times New Roman" w:hAnsi="Times New Roman" w:eastAsia="Times New Roman"/>
          <w:b w:val="0"/>
          <w:i/>
          <w:color w:val="535353"/>
          <w:sz w:val="22"/>
        </w:rPr>
        <w:t xml:space="preserve">Проверить: </w:t>
      </w:r>
      <w:hyperlink r:id="rId11">
        <w:r>
          <w:rPr>
            <w:color w:val="0563C1"/>
            <w:u w:val="single"/>
            <w:sz w:val="22"/>
            <w:rFonts w:ascii="Calibri" w:hAnsi="Calibri"/>
          </w:rPr>
          <w:t xml:space="preserve">ТК РФ, ст. 22.1–22.3</w:t>
        </w:r>
      </w:hyperlink>
      <w:r>
        <w:rPr>
          <w:rFonts w:ascii="Times New Roman" w:hAnsi="Times New Roman" w:eastAsia="Times New Roman"/>
          <w:b w:val="0"/>
          <w:i w:val="0"/>
          <w:color w:val="535353"/>
          <w:sz w:val="22"/>
        </w:rPr>
        <w:t xml:space="preserve">  ·  </w:t>
      </w:r>
      <w:hyperlink r:id="rId25">
        <w:r>
          <w:rPr>
            <w:color w:val="0563C1"/>
            <w:u w:val="single"/>
            <w:sz w:val="22"/>
            <w:rFonts w:ascii="Calibri" w:hAnsi="Calibri"/>
          </w:rPr>
          <w:t xml:space="preserve">ПП РФ № 2464</w:t>
        </w:r>
      </w:hyperlink>
    </w:p>
    <w:p>
      <w:pPr>
        <w:spacing w:line="360" w:lineRule="auto"/>
        <w:ind w:firstLine="709"/>
      </w:pPr>
      <w:r>
        <w:rPr>
          <w:rFonts w:ascii="Times New Roman" w:hAnsi="Times New Roman" w:eastAsia="Times New Roman"/>
          <w:b w:val="0"/>
          <w:i w:val="0"/>
          <w:sz w:val="28"/>
        </w:rPr>
        <w:t>За рубежом дистанционный инструктаж и электронная фиксация не упираются в такой замок. OSHA прямо допустила electronic training records (1997). Беларусь — п. 35 Инструкции № 175. Казахстан — журнал с ЭЦП. Германия не делает подпись конститутивным элементом Unterweisung. Сербия оставила на бумаге только учёт обученных. После дистанционного инструктажа в РФ работнику всё равно нужно лично расписаться на бумаге — ровно тот разрыв, который описывал отчёт Сколково и который к 2026 г. не закрыт.</w:t>
      </w:r>
    </w:p>
    <w:p>
      <w:pPr>
        <w:spacing w:before="40" w:after="160"/>
        <w:ind w:firstLine="0"/>
      </w:pPr>
      <w:r>
        <w:rPr>
          <w:rFonts w:ascii="Times New Roman" w:hAnsi="Times New Roman" w:eastAsia="Times New Roman"/>
          <w:b w:val="0"/>
          <w:i/>
          <w:color w:val="535353"/>
          <w:sz w:val="22"/>
        </w:rPr>
        <w:t xml:space="preserve">Проверить: </w:t>
      </w:r>
      <w:hyperlink r:id="rId22">
        <w:r>
          <w:rPr>
            <w:color w:val="0563C1"/>
            <w:u w:val="single"/>
            <w:sz w:val="22"/>
            <w:rFonts w:ascii="Calibri" w:hAnsi="Calibri"/>
          </w:rPr>
          <w:t xml:space="preserve">OSHA LOI 14.08.1997</w:t>
        </w:r>
      </w:hyperlink>
      <w:r>
        <w:rPr>
          <w:rFonts w:ascii="Times New Roman" w:hAnsi="Times New Roman" w:eastAsia="Times New Roman"/>
          <w:b w:val="0"/>
          <w:i w:val="0"/>
          <w:color w:val="535353"/>
          <w:sz w:val="22"/>
        </w:rPr>
        <w:t xml:space="preserve">  ·  </w:t>
      </w:r>
      <w:hyperlink r:id="rId19">
        <w:r>
          <w:rPr>
            <w:color w:val="0563C1"/>
            <w:u w:val="single"/>
            <w:sz w:val="22"/>
            <w:rFonts w:ascii="Calibri" w:hAnsi="Calibri"/>
          </w:rPr>
          <w:t xml:space="preserve">Инструкция Минтруда РБ № 175, п. 35</w:t>
        </w:r>
      </w:hyperlink>
    </w:p>
    <w:p>
      <w:pPr>
        <w:pStyle w:val="Heading1"/>
        <w:ind w:firstLine="0"/>
      </w:pPr>
      <w:r>
        <w:rPr>
          <w:rFonts w:ascii="Times New Roman" w:hAnsi="Times New Roman" w:eastAsia="Times New Roman"/>
          <w:b/>
          <w:i w:val="0"/>
          <w:color w:val="1F4E79"/>
          <w:sz w:val="28"/>
        </w:rPr>
        <w:t>9. Общие и индивидуальные требования</w:t>
      </w:r>
    </w:p>
    <w:p>
      <w:pPr>
        <w:pStyle w:val="Heading2"/>
        <w:ind w:firstLine="0"/>
      </w:pPr>
      <w:r>
        <w:rPr>
          <w:rFonts w:ascii="Times New Roman" w:hAnsi="Times New Roman" w:eastAsia="Times New Roman"/>
          <w:b/>
          <w:i w:val="0"/>
          <w:color w:val="1F4E79"/>
          <w:sz w:val="28"/>
        </w:rPr>
        <w:t>9.1. Что совпадает во всех рассмотренных правопорядках</w:t>
      </w:r>
    </w:p>
    <w:p>
      <w:pPr>
        <w:ind w:firstLine="0"/>
        <w:jc w:val="center"/>
      </w:pPr>
      <w:r>
        <w:rPr>
          <w:rFonts w:ascii="Times New Roman" w:hAnsi="Times New Roman" w:eastAsia="Times New Roman"/>
          <w:b w:val="0"/>
          <w:i/>
          <w:sz w:val="24"/>
        </w:rPr>
        <w:t>Таблица 7 — Общие требования к кадровому ЭДО</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1F4E79" w:val="clear"/>
          </w:tcPr>
          <w:p>
            <w:r/>
            <w:r>
              <w:rPr>
                <w:rFonts w:ascii="Calibri" w:hAnsi="Calibri" w:eastAsia="Calibri"/>
                <w:b/>
                <w:i w:val="0"/>
                <w:color w:val="FFFFFF"/>
                <w:sz w:val="20"/>
              </w:rPr>
              <w:t>Требование</w:t>
            </w:r>
          </w:p>
        </w:tc>
        <w:tc>
          <w:tcPr>
            <w:tcW w:type="dxa" w:w="2339"/>
            <w:shd w:fill="1F4E79" w:val="clear"/>
          </w:tcPr>
          <w:p>
            <w:r/>
            <w:r>
              <w:rPr>
                <w:rFonts w:ascii="Calibri" w:hAnsi="Calibri" w:eastAsia="Calibri"/>
                <w:b/>
                <w:i w:val="0"/>
                <w:color w:val="FFFFFF"/>
                <w:sz w:val="20"/>
              </w:rPr>
              <w:t>Смысл</w:t>
            </w:r>
          </w:p>
        </w:tc>
        <w:tc>
          <w:tcPr>
            <w:tcW w:type="dxa" w:w="2339"/>
            <w:shd w:fill="1F4E79" w:val="clear"/>
          </w:tcPr>
          <w:p>
            <w:r/>
            <w:r>
              <w:rPr>
                <w:rFonts w:ascii="Calibri" w:hAnsi="Calibri" w:eastAsia="Calibri"/>
                <w:b/>
                <w:i w:val="0"/>
                <w:color w:val="FFFFFF"/>
                <w:sz w:val="20"/>
              </w:rPr>
              <w:t>Где закреплено</w:t>
            </w:r>
          </w:p>
        </w:tc>
        <w:tc>
          <w:tcPr>
            <w:tcW w:type="dxa" w:w="2339"/>
            <w:shd w:fill="1F4E79" w:val="clear"/>
          </w:tcPr>
          <w:p>
            <w:r/>
            <w:r>
              <w:rPr>
                <w:rFonts w:ascii="Calibri" w:hAnsi="Calibri" w:eastAsia="Calibri"/>
                <w:b/>
                <w:i w:val="0"/>
                <w:color w:val="FFFFFF"/>
                <w:sz w:val="20"/>
              </w:rPr>
              <w:t>Следствие для РФ</w:t>
            </w:r>
          </w:p>
        </w:tc>
      </w:tr>
      <w:tr>
        <w:tc>
          <w:tcPr>
            <w:tcW w:type="dxa" w:w="2339"/>
          </w:tcPr>
          <w:p>
            <w:r/>
            <w:r>
              <w:rPr>
                <w:rFonts w:ascii="Calibri" w:hAnsi="Calibri" w:eastAsia="Calibri"/>
                <w:b/>
                <w:i w:val="0"/>
                <w:sz w:val="20"/>
              </w:rPr>
              <w:t>Недискриминация электронной формы</w:t>
            </w:r>
          </w:p>
        </w:tc>
        <w:tc>
          <w:tcPr>
            <w:tcW w:type="dxa" w:w="2339"/>
          </w:tcPr>
          <w:p>
            <w:r/>
            <w:r>
              <w:rPr>
                <w:rFonts w:ascii="Calibri" w:hAnsi="Calibri" w:eastAsia="Calibri"/>
                <w:b w:val="0"/>
                <w:i w:val="0"/>
                <w:sz w:val="20"/>
              </w:rPr>
              <w:t>Документ не отвергается только потому, что он электронный</w:t>
            </w:r>
          </w:p>
        </w:tc>
        <w:tc>
          <w:tcPr>
            <w:tcW w:type="dxa" w:w="2339"/>
          </w:tcPr>
          <w:p>
            <w:r/>
            <w:r>
              <w:rPr>
                <w:rFonts w:ascii="Calibri" w:hAnsi="Calibri" w:eastAsia="Calibri"/>
                <w:b w:val="0"/>
                <w:i w:val="0"/>
                <w:sz w:val="20"/>
              </w:rPr>
              <w:t>UNCITRAL MLEC, eIDAS, ESIGN, 63‑ФЗ, ETA, ESL КНР</w:t>
            </w:r>
          </w:p>
        </w:tc>
        <w:tc>
          <w:tcPr>
            <w:tcW w:type="dxa" w:w="2339"/>
          </w:tcPr>
          <w:p>
            <w:r/>
            <w:r>
              <w:rPr>
                <w:rFonts w:ascii="Calibri" w:hAnsi="Calibri" w:eastAsia="Calibri"/>
                <w:b w:val="0"/>
                <w:i w:val="0"/>
                <w:sz w:val="20"/>
              </w:rPr>
              <w:t>Уже есть; ломает не форму, а специсключения</w:t>
            </w:r>
          </w:p>
        </w:tc>
      </w:tr>
      <w:tr>
        <w:tc>
          <w:tcPr>
            <w:tcW w:type="dxa" w:w="2339"/>
          </w:tcPr>
          <w:p>
            <w:r/>
            <w:r>
              <w:rPr>
                <w:rFonts w:ascii="Calibri" w:hAnsi="Calibri" w:eastAsia="Calibri"/>
                <w:b/>
                <w:i w:val="0"/>
                <w:sz w:val="20"/>
              </w:rPr>
              <w:t>Идентификация подписанта</w:t>
            </w:r>
          </w:p>
        </w:tc>
        <w:tc>
          <w:tcPr>
            <w:tcW w:type="dxa" w:w="2339"/>
          </w:tcPr>
          <w:p>
            <w:r/>
            <w:r>
              <w:rPr>
                <w:rFonts w:ascii="Calibri" w:hAnsi="Calibri" w:eastAsia="Calibri"/>
                <w:b w:val="0"/>
                <w:i w:val="0"/>
                <w:sz w:val="20"/>
              </w:rPr>
              <w:t>Можно установить, кто подписал</w:t>
            </w:r>
          </w:p>
        </w:tc>
        <w:tc>
          <w:tcPr>
            <w:tcW w:type="dxa" w:w="2339"/>
          </w:tcPr>
          <w:p>
            <w:r/>
            <w:r>
              <w:rPr>
                <w:rFonts w:ascii="Calibri" w:hAnsi="Calibri" w:eastAsia="Calibri"/>
                <w:b w:val="0"/>
                <w:i w:val="0"/>
                <w:sz w:val="20"/>
              </w:rPr>
              <w:t>Все законы об ЭП; Пленум № 25 п. 65</w:t>
            </w:r>
          </w:p>
        </w:tc>
        <w:tc>
          <w:tcPr>
            <w:tcW w:type="dxa" w:w="2339"/>
          </w:tcPr>
          <w:p>
            <w:r/>
            <w:r>
              <w:rPr>
                <w:rFonts w:ascii="Calibri" w:hAnsi="Calibri" w:eastAsia="Calibri"/>
                <w:b w:val="0"/>
                <w:i w:val="0"/>
                <w:sz w:val="20"/>
              </w:rPr>
              <w:t>Уникальная учётная запись, запрет общего логина</w:t>
            </w:r>
          </w:p>
        </w:tc>
      </w:tr>
      <w:tr>
        <w:tc>
          <w:tcPr>
            <w:tcW w:type="dxa" w:w="2339"/>
          </w:tcPr>
          <w:p>
            <w:r/>
            <w:r>
              <w:rPr>
                <w:rFonts w:ascii="Calibri" w:hAnsi="Calibri" w:eastAsia="Calibri"/>
                <w:b/>
                <w:i w:val="0"/>
                <w:sz w:val="20"/>
              </w:rPr>
              <w:t>Целостность</w:t>
            </w:r>
          </w:p>
        </w:tc>
        <w:tc>
          <w:tcPr>
            <w:tcW w:type="dxa" w:w="2339"/>
          </w:tcPr>
          <w:p>
            <w:r/>
            <w:r>
              <w:rPr>
                <w:rFonts w:ascii="Calibri" w:hAnsi="Calibri" w:eastAsia="Calibri"/>
                <w:b w:val="0"/>
                <w:i w:val="0"/>
                <w:sz w:val="20"/>
              </w:rPr>
              <w:t>После подписания содержание не менялось молча</w:t>
            </w:r>
          </w:p>
        </w:tc>
        <w:tc>
          <w:tcPr>
            <w:tcW w:type="dxa" w:w="2339"/>
          </w:tcPr>
          <w:p>
            <w:r/>
            <w:r>
              <w:rPr>
                <w:rFonts w:ascii="Calibri" w:hAnsi="Calibri" w:eastAsia="Calibri"/>
                <w:b w:val="0"/>
                <w:i w:val="0"/>
                <w:sz w:val="20"/>
              </w:rPr>
              <w:t>AES/QES, secure ES, п. 35 Инстр. 175, audit trail</w:t>
            </w:r>
          </w:p>
        </w:tc>
        <w:tc>
          <w:tcPr>
            <w:tcW w:type="dxa" w:w="2339"/>
          </w:tcPr>
          <w:p>
            <w:r/>
            <w:r>
              <w:rPr>
                <w:rFonts w:ascii="Calibri" w:hAnsi="Calibri" w:eastAsia="Calibri"/>
                <w:b w:val="0"/>
                <w:i w:val="0"/>
                <w:sz w:val="20"/>
              </w:rPr>
              <w:t>Лог изменений обязателен даже для ПЭП</w:t>
            </w:r>
          </w:p>
        </w:tc>
      </w:tr>
      <w:tr>
        <w:tc>
          <w:tcPr>
            <w:tcW w:type="dxa" w:w="2339"/>
          </w:tcPr>
          <w:p>
            <w:r/>
            <w:r>
              <w:rPr>
                <w:rFonts w:ascii="Calibri" w:hAnsi="Calibri" w:eastAsia="Calibri"/>
                <w:b/>
                <w:i w:val="0"/>
                <w:sz w:val="20"/>
              </w:rPr>
              <w:t>Воспроизводимость</w:t>
            </w:r>
          </w:p>
        </w:tc>
        <w:tc>
          <w:tcPr>
            <w:tcW w:type="dxa" w:w="2339"/>
          </w:tcPr>
          <w:p>
            <w:r/>
            <w:r>
              <w:rPr>
                <w:rFonts w:ascii="Calibri" w:hAnsi="Calibri" w:eastAsia="Calibri"/>
                <w:b w:val="0"/>
                <w:i w:val="0"/>
                <w:sz w:val="20"/>
              </w:rPr>
              <w:t>Запись можно показать через годы</w:t>
            </w:r>
          </w:p>
        </w:tc>
        <w:tc>
          <w:tcPr>
            <w:tcW w:type="dxa" w:w="2339"/>
          </w:tcPr>
          <w:p>
            <w:r/>
            <w:r>
              <w:rPr>
                <w:rFonts w:ascii="Calibri" w:hAnsi="Calibri" w:eastAsia="Calibri"/>
                <w:b w:val="0"/>
                <w:i w:val="0"/>
                <w:sz w:val="20"/>
              </w:rPr>
              <w:t>ESIGN retention; архивное право</w:t>
            </w:r>
          </w:p>
        </w:tc>
        <w:tc>
          <w:tcPr>
            <w:tcW w:type="dxa" w:w="2339"/>
          </w:tcPr>
          <w:p>
            <w:r/>
            <w:r>
              <w:rPr>
                <w:rFonts w:ascii="Calibri" w:hAnsi="Calibri" w:eastAsia="Calibri"/>
                <w:b w:val="0"/>
                <w:i w:val="0"/>
                <w:sz w:val="20"/>
              </w:rPr>
              <w:t>Для журналов ОТ — 45 лет, не «пока жив вендор»</w:t>
            </w:r>
          </w:p>
        </w:tc>
      </w:tr>
      <w:tr>
        <w:tc>
          <w:tcPr>
            <w:tcW w:type="dxa" w:w="2339"/>
          </w:tcPr>
          <w:p>
            <w:r/>
            <w:r>
              <w:rPr>
                <w:rFonts w:ascii="Calibri" w:hAnsi="Calibri" w:eastAsia="Calibri"/>
                <w:b/>
                <w:i w:val="0"/>
                <w:sz w:val="20"/>
              </w:rPr>
              <w:t>Соразмерность подписи риску</w:t>
            </w:r>
          </w:p>
        </w:tc>
        <w:tc>
          <w:tcPr>
            <w:tcW w:type="dxa" w:w="2339"/>
          </w:tcPr>
          <w:p>
            <w:r/>
            <w:r>
              <w:rPr>
                <w:rFonts w:ascii="Calibri" w:hAnsi="Calibri" w:eastAsia="Calibri"/>
                <w:b w:val="0"/>
                <w:i w:val="0"/>
                <w:sz w:val="20"/>
              </w:rPr>
              <w:t>Массовое ознакомление ≠ отчёт в ФНС</w:t>
            </w:r>
          </w:p>
        </w:tc>
        <w:tc>
          <w:tcPr>
            <w:tcW w:type="dxa" w:w="2339"/>
          </w:tcPr>
          <w:p>
            <w:r/>
            <w:r>
              <w:rPr>
                <w:rFonts w:ascii="Calibri" w:hAnsi="Calibri" w:eastAsia="Calibri"/>
                <w:b w:val="0"/>
                <w:i w:val="0"/>
                <w:sz w:val="20"/>
              </w:rPr>
              <w:t>eIDAS SES/AES/QES; практика DE Textform</w:t>
            </w:r>
          </w:p>
        </w:tc>
        <w:tc>
          <w:tcPr>
            <w:tcW w:type="dxa" w:w="2339"/>
          </w:tcPr>
          <w:p>
            <w:r/>
            <w:r>
              <w:rPr>
                <w:rFonts w:ascii="Calibri" w:hAnsi="Calibri" w:eastAsia="Calibri"/>
                <w:b w:val="0"/>
                <w:i w:val="0"/>
                <w:sz w:val="20"/>
              </w:rPr>
              <w:t>ПЭП работнику, УКЭП — не на каждую отметку</w:t>
            </w:r>
          </w:p>
        </w:tc>
      </w:tr>
      <w:tr>
        <w:tc>
          <w:tcPr>
            <w:tcW w:type="dxa" w:w="2339"/>
          </w:tcPr>
          <w:p>
            <w:r/>
            <w:r>
              <w:rPr>
                <w:rFonts w:ascii="Calibri" w:hAnsi="Calibri" w:eastAsia="Calibri"/>
                <w:b/>
                <w:i w:val="0"/>
                <w:sz w:val="20"/>
              </w:rPr>
              <w:t>Содержание важнее носителя в ОТ</w:t>
            </w:r>
          </w:p>
        </w:tc>
        <w:tc>
          <w:tcPr>
            <w:tcW w:type="dxa" w:w="2339"/>
          </w:tcPr>
          <w:p>
            <w:r/>
            <w:r>
              <w:rPr>
                <w:rFonts w:ascii="Calibri" w:hAnsi="Calibri" w:eastAsia="Calibri"/>
                <w:b w:val="0"/>
                <w:i w:val="0"/>
                <w:sz w:val="20"/>
              </w:rPr>
              <w:t>Суд проверяет факт обучения и связь с рисками</w:t>
            </w:r>
          </w:p>
        </w:tc>
        <w:tc>
          <w:tcPr>
            <w:tcW w:type="dxa" w:w="2339"/>
          </w:tcPr>
          <w:p>
            <w:r/>
            <w:r>
              <w:rPr>
                <w:rFonts w:ascii="Calibri" w:hAnsi="Calibri" w:eastAsia="Calibri"/>
                <w:b w:val="0"/>
                <w:i w:val="0"/>
                <w:sz w:val="20"/>
              </w:rPr>
              <w:t>BAG, Redmond, OSHA, ВС 49‑АД24‑22‑К6</w:t>
            </w:r>
          </w:p>
        </w:tc>
        <w:tc>
          <w:tcPr>
            <w:tcW w:type="dxa" w:w="2339"/>
          </w:tcPr>
          <w:p>
            <w:r/>
            <w:r>
              <w:rPr>
                <w:rFonts w:ascii="Calibri" w:hAnsi="Calibri" w:eastAsia="Calibri"/>
                <w:b w:val="0"/>
                <w:i w:val="0"/>
                <w:sz w:val="20"/>
              </w:rPr>
              <w:t>Электронная форма не спасёт пустой курс</w:t>
            </w:r>
          </w:p>
        </w:tc>
      </w:tr>
    </w:tbl>
    <w:p/>
    <w:p>
      <w:pPr>
        <w:pStyle w:val="Heading2"/>
        <w:ind w:firstLine="0"/>
      </w:pPr>
      <w:r>
        <w:rPr>
          <w:rFonts w:ascii="Times New Roman" w:hAnsi="Times New Roman" w:eastAsia="Times New Roman"/>
          <w:b/>
          <w:i w:val="0"/>
          <w:color w:val="1F4E79"/>
          <w:sz w:val="28"/>
        </w:rPr>
        <w:t>9.2. Что индивидуально</w:t>
      </w:r>
    </w:p>
    <w:p>
      <w:pPr>
        <w:ind w:firstLine="0"/>
        <w:jc w:val="center"/>
      </w:pPr>
      <w:r>
        <w:rPr>
          <w:rFonts w:ascii="Times New Roman" w:hAnsi="Times New Roman" w:eastAsia="Times New Roman"/>
          <w:b w:val="0"/>
          <w:i/>
          <w:sz w:val="24"/>
        </w:rPr>
        <w:t>Таблица 8 — Национальные особенности и исключения</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fill="1F4E79" w:val="clear"/>
          </w:tcPr>
          <w:p>
            <w:r/>
            <w:r>
              <w:rPr>
                <w:rFonts w:ascii="Calibri" w:hAnsi="Calibri" w:eastAsia="Calibri"/>
                <w:b/>
                <w:i w:val="0"/>
                <w:color w:val="FFFFFF"/>
                <w:sz w:val="20"/>
              </w:rPr>
              <w:t>Юрисдикция</w:t>
            </w:r>
          </w:p>
        </w:tc>
        <w:tc>
          <w:tcPr>
            <w:tcW w:type="dxa" w:w="2339"/>
            <w:shd w:fill="1F4E79" w:val="clear"/>
          </w:tcPr>
          <w:p>
            <w:r/>
            <w:r>
              <w:rPr>
                <w:rFonts w:ascii="Calibri" w:hAnsi="Calibri" w:eastAsia="Calibri"/>
                <w:b/>
                <w:i w:val="0"/>
                <w:color w:val="FFFFFF"/>
                <w:sz w:val="20"/>
              </w:rPr>
              <w:t>Индивидуальное требование</w:t>
            </w:r>
          </w:p>
        </w:tc>
        <w:tc>
          <w:tcPr>
            <w:tcW w:type="dxa" w:w="2339"/>
            <w:shd w:fill="1F4E79" w:val="clear"/>
          </w:tcPr>
          <w:p>
            <w:r/>
            <w:r>
              <w:rPr>
                <w:rFonts w:ascii="Calibri" w:hAnsi="Calibri" w:eastAsia="Calibri"/>
                <w:b/>
                <w:i w:val="0"/>
                <w:color w:val="FFFFFF"/>
                <w:sz w:val="20"/>
              </w:rPr>
              <w:t>Чего нет у других</w:t>
            </w:r>
          </w:p>
        </w:tc>
        <w:tc>
          <w:tcPr>
            <w:tcW w:type="dxa" w:w="2339"/>
            <w:shd w:fill="1F4E79" w:val="clear"/>
          </w:tcPr>
          <w:p>
            <w:r/>
            <w:r>
              <w:rPr>
                <w:rFonts w:ascii="Calibri" w:hAnsi="Calibri" w:eastAsia="Calibri"/>
                <w:b/>
                <w:i w:val="0"/>
                <w:color w:val="FFFFFF"/>
                <w:sz w:val="20"/>
              </w:rPr>
              <w:t>Переносить в РФ?</w:t>
            </w:r>
          </w:p>
        </w:tc>
      </w:tr>
      <w:tr>
        <w:tc>
          <w:tcPr>
            <w:tcW w:type="dxa" w:w="2339"/>
          </w:tcPr>
          <w:p>
            <w:r/>
            <w:r>
              <w:rPr>
                <w:rFonts w:ascii="Calibri" w:hAnsi="Calibri" w:eastAsia="Calibri"/>
                <w:b/>
                <w:i w:val="0"/>
                <w:sz w:val="20"/>
              </w:rPr>
              <w:t>Россия</w:t>
            </w:r>
          </w:p>
        </w:tc>
        <w:tc>
          <w:tcPr>
            <w:tcW w:type="dxa" w:w="2339"/>
          </w:tcPr>
          <w:p>
            <w:r/>
            <w:r>
              <w:rPr>
                <w:rFonts w:ascii="Calibri" w:hAnsi="Calibri" w:eastAsia="Calibri"/>
                <w:b w:val="0"/>
                <w:i w:val="0"/>
                <w:sz w:val="20"/>
              </w:rPr>
              <w:t>Ч. 3 ст. 22.1 ТК: журналы инструктажа и акты НС вне КЭДО; согласие на КЭДО</w:t>
            </w:r>
          </w:p>
        </w:tc>
        <w:tc>
          <w:tcPr>
            <w:tcW w:type="dxa" w:w="2339"/>
          </w:tcPr>
          <w:p>
            <w:r/>
            <w:r>
              <w:rPr>
                <w:rFonts w:ascii="Calibri" w:hAnsi="Calibri" w:eastAsia="Calibri"/>
                <w:b w:val="0"/>
                <w:i w:val="0"/>
                <w:sz w:val="20"/>
              </w:rPr>
              <w:t>Среди 13 юрисдикций такого широкого запрета носителя нет</w:t>
            </w:r>
          </w:p>
        </w:tc>
        <w:tc>
          <w:tcPr>
            <w:tcW w:type="dxa" w:w="2339"/>
          </w:tcPr>
          <w:p>
            <w:r/>
            <w:r>
              <w:rPr>
                <w:rFonts w:ascii="Calibri" w:hAnsi="Calibri" w:eastAsia="Calibri"/>
                <w:b w:val="0"/>
                <w:i w:val="0"/>
                <w:sz w:val="20"/>
              </w:rPr>
              <w:t>— (исходная точка реформы)</w:t>
            </w:r>
          </w:p>
        </w:tc>
      </w:tr>
      <w:tr>
        <w:tc>
          <w:tcPr>
            <w:tcW w:type="dxa" w:w="2339"/>
          </w:tcPr>
          <w:p>
            <w:r/>
            <w:r>
              <w:rPr>
                <w:rFonts w:ascii="Calibri" w:hAnsi="Calibri" w:eastAsia="Calibri"/>
                <w:b/>
                <w:i w:val="0"/>
                <w:sz w:val="20"/>
              </w:rPr>
              <w:t>Германия</w:t>
            </w:r>
          </w:p>
        </w:tc>
        <w:tc>
          <w:tcPr>
            <w:tcW w:type="dxa" w:w="2339"/>
          </w:tcPr>
          <w:p>
            <w:r/>
            <w:r>
              <w:rPr>
                <w:rFonts w:ascii="Calibri" w:hAnsi="Calibri" w:eastAsia="Calibri"/>
                <w:b w:val="0"/>
                <w:i w:val="0"/>
                <w:sz w:val="20"/>
              </w:rPr>
              <w:t>Textform в кадрах с 2025; Schriftform на увольнение; Unterweisung без обязательной подписи</w:t>
            </w:r>
          </w:p>
        </w:tc>
        <w:tc>
          <w:tcPr>
            <w:tcW w:type="dxa" w:w="2339"/>
          </w:tcPr>
          <w:p>
            <w:r/>
            <w:r>
              <w:rPr>
                <w:rFonts w:ascii="Calibri" w:hAnsi="Calibri" w:eastAsia="Calibri"/>
                <w:b w:val="0"/>
                <w:i w:val="0"/>
                <w:sz w:val="20"/>
              </w:rPr>
              <w:t>Снижение формы HR при жёстком исключении для расторжения</w:t>
            </w:r>
          </w:p>
        </w:tc>
        <w:tc>
          <w:tcPr>
            <w:tcW w:type="dxa" w:w="2339"/>
          </w:tcPr>
          <w:p>
            <w:r/>
            <w:r>
              <w:rPr>
                <w:rFonts w:ascii="Calibri" w:hAnsi="Calibri" w:eastAsia="Calibri"/>
                <w:b w:val="0"/>
                <w:i w:val="0"/>
                <w:sz w:val="20"/>
              </w:rPr>
              <w:t>Частично: не всё на УКЭП; увольнение не трогать этой правкой</w:t>
            </w:r>
          </w:p>
        </w:tc>
      </w:tr>
      <w:tr>
        <w:tc>
          <w:tcPr>
            <w:tcW w:type="dxa" w:w="2339"/>
          </w:tcPr>
          <w:p>
            <w:r/>
            <w:r>
              <w:rPr>
                <w:rFonts w:ascii="Calibri" w:hAnsi="Calibri" w:eastAsia="Calibri"/>
                <w:b/>
                <w:i w:val="0"/>
                <w:sz w:val="20"/>
              </w:rPr>
              <w:t>Франция</w:t>
            </w:r>
          </w:p>
        </w:tc>
        <w:tc>
          <w:tcPr>
            <w:tcW w:type="dxa" w:w="2339"/>
          </w:tcPr>
          <w:p>
            <w:r/>
            <w:r>
              <w:rPr>
                <w:rFonts w:ascii="Calibri" w:hAnsi="Calibri" w:eastAsia="Calibri"/>
                <w:b w:val="0"/>
                <w:i w:val="0"/>
                <w:sz w:val="20"/>
              </w:rPr>
              <w:t>Презумпция только у QES; скан ≠ ЭП</w:t>
            </w:r>
          </w:p>
        </w:tc>
        <w:tc>
          <w:tcPr>
            <w:tcW w:type="dxa" w:w="2339"/>
          </w:tcPr>
          <w:p>
            <w:r/>
            <w:r>
              <w:rPr>
                <w:rFonts w:ascii="Calibri" w:hAnsi="Calibri" w:eastAsia="Calibri"/>
                <w:b w:val="0"/>
                <w:i w:val="0"/>
                <w:sz w:val="20"/>
              </w:rPr>
              <w:t>Жёстче, чем Пленум № 25</w:t>
            </w:r>
          </w:p>
        </w:tc>
        <w:tc>
          <w:tcPr>
            <w:tcW w:type="dxa" w:w="2339"/>
          </w:tcPr>
          <w:p>
            <w:r/>
            <w:r>
              <w:rPr>
                <w:rFonts w:ascii="Calibri" w:hAnsi="Calibri" w:eastAsia="Calibri"/>
                <w:b w:val="0"/>
                <w:i w:val="0"/>
                <w:sz w:val="20"/>
              </w:rPr>
              <w:t>Запрет скана как «подписи» — да; презумпцию только УКЭП — нет</w:t>
            </w:r>
          </w:p>
        </w:tc>
      </w:tr>
      <w:tr>
        <w:tc>
          <w:tcPr>
            <w:tcW w:type="dxa" w:w="2339"/>
          </w:tcPr>
          <w:p>
            <w:r/>
            <w:r>
              <w:rPr>
                <w:rFonts w:ascii="Calibri" w:hAnsi="Calibri" w:eastAsia="Calibri"/>
                <w:b/>
                <w:i w:val="0"/>
                <w:sz w:val="20"/>
              </w:rPr>
              <w:t>США</w:t>
            </w:r>
          </w:p>
        </w:tc>
        <w:tc>
          <w:tcPr>
            <w:tcW w:type="dxa" w:w="2339"/>
          </w:tcPr>
          <w:p>
            <w:r/>
            <w:r>
              <w:rPr>
                <w:rFonts w:ascii="Calibri" w:hAnsi="Calibri" w:eastAsia="Calibri"/>
                <w:b w:val="0"/>
                <w:i w:val="0"/>
                <w:sz w:val="20"/>
              </w:rPr>
              <w:t>Нет иерархии QES; OSHA прямо легализовала e‑training records</w:t>
            </w:r>
          </w:p>
        </w:tc>
        <w:tc>
          <w:tcPr>
            <w:tcW w:type="dxa" w:w="2339"/>
          </w:tcPr>
          <w:p>
            <w:r/>
            <w:r>
              <w:rPr>
                <w:rFonts w:ascii="Calibri" w:hAnsi="Calibri" w:eastAsia="Calibri"/>
                <w:b w:val="0"/>
                <w:i w:val="0"/>
                <w:sz w:val="20"/>
              </w:rPr>
              <w:t>Максимальная нейтральность технологии</w:t>
            </w:r>
          </w:p>
        </w:tc>
        <w:tc>
          <w:tcPr>
            <w:tcW w:type="dxa" w:w="2339"/>
          </w:tcPr>
          <w:p>
            <w:r/>
            <w:r>
              <w:rPr>
                <w:rFonts w:ascii="Calibri" w:hAnsi="Calibri" w:eastAsia="Calibri"/>
                <w:b w:val="0"/>
                <w:i w:val="0"/>
                <w:sz w:val="20"/>
              </w:rPr>
              <w:t>E‑records по ОТ — да; отказ от ПЭП/УНЭП/УКЭП — нет</w:t>
            </w:r>
          </w:p>
        </w:tc>
      </w:tr>
      <w:tr>
        <w:tc>
          <w:tcPr>
            <w:tcW w:type="dxa" w:w="2339"/>
          </w:tcPr>
          <w:p>
            <w:r/>
            <w:r>
              <w:rPr>
                <w:rFonts w:ascii="Calibri" w:hAnsi="Calibri" w:eastAsia="Calibri"/>
                <w:b/>
                <w:i w:val="0"/>
                <w:sz w:val="20"/>
              </w:rPr>
              <w:t>Беларусь</w:t>
            </w:r>
          </w:p>
        </w:tc>
        <w:tc>
          <w:tcPr>
            <w:tcW w:type="dxa" w:w="2339"/>
          </w:tcPr>
          <w:p>
            <w:r/>
            <w:r>
              <w:rPr>
                <w:rFonts w:ascii="Calibri" w:hAnsi="Calibri" w:eastAsia="Calibri"/>
                <w:b w:val="0"/>
                <w:i w:val="0"/>
                <w:sz w:val="20"/>
              </w:rPr>
              <w:t>П. 35: e‑журнал без обязательной ЭЦП у рабочего</w:t>
            </w:r>
          </w:p>
        </w:tc>
        <w:tc>
          <w:tcPr>
            <w:tcW w:type="dxa" w:w="2339"/>
          </w:tcPr>
          <w:p>
            <w:r/>
            <w:r>
              <w:rPr>
                <w:rFonts w:ascii="Calibri" w:hAnsi="Calibri" w:eastAsia="Calibri"/>
                <w:b w:val="0"/>
                <w:i w:val="0"/>
                <w:sz w:val="20"/>
              </w:rPr>
              <w:t>Ближайший положительный образец журнала</w:t>
            </w:r>
          </w:p>
        </w:tc>
        <w:tc>
          <w:tcPr>
            <w:tcW w:type="dxa" w:w="2339"/>
          </w:tcPr>
          <w:p>
            <w:r/>
            <w:r>
              <w:rPr>
                <w:rFonts w:ascii="Calibri" w:hAnsi="Calibri" w:eastAsia="Calibri"/>
                <w:b w:val="0"/>
                <w:i w:val="0"/>
                <w:sz w:val="20"/>
              </w:rPr>
              <w:t>Да: условия 1–3 в абзац к ст. 22.1</w:t>
            </w:r>
          </w:p>
        </w:tc>
      </w:tr>
      <w:tr>
        <w:tc>
          <w:tcPr>
            <w:tcW w:type="dxa" w:w="2339"/>
          </w:tcPr>
          <w:p>
            <w:r/>
            <w:r>
              <w:rPr>
                <w:rFonts w:ascii="Calibri" w:hAnsi="Calibri" w:eastAsia="Calibri"/>
                <w:b/>
                <w:i w:val="0"/>
                <w:sz w:val="20"/>
              </w:rPr>
              <w:t>Казахстан</w:t>
            </w:r>
          </w:p>
        </w:tc>
        <w:tc>
          <w:tcPr>
            <w:tcW w:type="dxa" w:w="2339"/>
          </w:tcPr>
          <w:p>
            <w:r/>
            <w:r>
              <w:rPr>
                <w:rFonts w:ascii="Calibri" w:hAnsi="Calibri" w:eastAsia="Calibri"/>
                <w:b w:val="0"/>
                <w:i w:val="0"/>
                <w:sz w:val="20"/>
              </w:rPr>
              <w:t>Журнал + ЭЦП обеих сторон</w:t>
            </w:r>
          </w:p>
        </w:tc>
        <w:tc>
          <w:tcPr>
            <w:tcW w:type="dxa" w:w="2339"/>
          </w:tcPr>
          <w:p>
            <w:r/>
            <w:r>
              <w:rPr>
                <w:rFonts w:ascii="Calibri" w:hAnsi="Calibri" w:eastAsia="Calibri"/>
                <w:b w:val="0"/>
                <w:i w:val="0"/>
                <w:sz w:val="20"/>
              </w:rPr>
              <w:t>Жёстче Беларуси</w:t>
            </w:r>
          </w:p>
        </w:tc>
        <w:tc>
          <w:tcPr>
            <w:tcW w:type="dxa" w:w="2339"/>
          </w:tcPr>
          <w:p>
            <w:r/>
            <w:r>
              <w:rPr>
                <w:rFonts w:ascii="Calibri" w:hAnsi="Calibri" w:eastAsia="Calibri"/>
                <w:b w:val="0"/>
                <w:i w:val="0"/>
                <w:sz w:val="20"/>
              </w:rPr>
              <w:t>Как усиленный вариант, не как массовый стандарт</w:t>
            </w:r>
          </w:p>
        </w:tc>
      </w:tr>
      <w:tr>
        <w:tc>
          <w:tcPr>
            <w:tcW w:type="dxa" w:w="2339"/>
          </w:tcPr>
          <w:p>
            <w:r/>
            <w:r>
              <w:rPr>
                <w:rFonts w:ascii="Calibri" w:hAnsi="Calibri" w:eastAsia="Calibri"/>
                <w:b/>
                <w:i w:val="0"/>
                <w:sz w:val="20"/>
              </w:rPr>
              <w:t>Сербия</w:t>
            </w:r>
          </w:p>
        </w:tc>
        <w:tc>
          <w:tcPr>
            <w:tcW w:type="dxa" w:w="2339"/>
          </w:tcPr>
          <w:p>
            <w:r/>
            <w:r>
              <w:rPr>
                <w:rFonts w:ascii="Calibri" w:hAnsi="Calibri" w:eastAsia="Calibri"/>
                <w:b w:val="0"/>
                <w:i w:val="0"/>
                <w:sz w:val="20"/>
              </w:rPr>
              <w:t>Form 6 на бумаге, прочие формы ОТ электронно с QES</w:t>
            </w:r>
          </w:p>
        </w:tc>
        <w:tc>
          <w:tcPr>
            <w:tcW w:type="dxa" w:w="2339"/>
          </w:tcPr>
          <w:p>
            <w:r/>
            <w:r>
              <w:rPr>
                <w:rFonts w:ascii="Calibri" w:hAnsi="Calibri" w:eastAsia="Calibri"/>
                <w:b w:val="0"/>
                <w:i w:val="0"/>
                <w:sz w:val="20"/>
              </w:rPr>
              <w:t>Точечный запрет вместо широкого</w:t>
            </w:r>
          </w:p>
        </w:tc>
        <w:tc>
          <w:tcPr>
            <w:tcW w:type="dxa" w:w="2339"/>
          </w:tcPr>
          <w:p>
            <w:r/>
            <w:r>
              <w:rPr>
                <w:rFonts w:ascii="Calibri" w:hAnsi="Calibri" w:eastAsia="Calibri"/>
                <w:b w:val="0"/>
                <w:i w:val="0"/>
                <w:sz w:val="20"/>
              </w:rPr>
              <w:t>Логика точечности — да; копировать Form 6 — нет</w:t>
            </w:r>
          </w:p>
        </w:tc>
      </w:tr>
      <w:tr>
        <w:tc>
          <w:tcPr>
            <w:tcW w:type="dxa" w:w="2339"/>
          </w:tcPr>
          <w:p>
            <w:r/>
            <w:r>
              <w:rPr>
                <w:rFonts w:ascii="Calibri" w:hAnsi="Calibri" w:eastAsia="Calibri"/>
                <w:b/>
                <w:i w:val="0"/>
                <w:sz w:val="20"/>
              </w:rPr>
              <w:t>Кения</w:t>
            </w:r>
          </w:p>
        </w:tc>
        <w:tc>
          <w:tcPr>
            <w:tcW w:type="dxa" w:w="2339"/>
          </w:tcPr>
          <w:p>
            <w:r/>
            <w:r>
              <w:rPr>
                <w:rFonts w:ascii="Calibri" w:hAnsi="Calibri" w:eastAsia="Calibri"/>
                <w:b w:val="0"/>
                <w:i w:val="0"/>
                <w:sz w:val="20"/>
              </w:rPr>
              <w:t>Evidence Act s. 106B — сертификат компьютера</w:t>
            </w:r>
          </w:p>
        </w:tc>
        <w:tc>
          <w:tcPr>
            <w:tcW w:type="dxa" w:w="2339"/>
          </w:tcPr>
          <w:p>
            <w:r/>
            <w:r>
              <w:rPr>
                <w:rFonts w:ascii="Calibri" w:hAnsi="Calibri" w:eastAsia="Calibri"/>
                <w:b w:val="0"/>
                <w:i w:val="0"/>
                <w:sz w:val="20"/>
              </w:rPr>
              <w:t>Процессуальный фильтр сильнее отраслевого закона</w:t>
            </w:r>
          </w:p>
        </w:tc>
        <w:tc>
          <w:tcPr>
            <w:tcW w:type="dxa" w:w="2339"/>
          </w:tcPr>
          <w:p>
            <w:r/>
            <w:r>
              <w:rPr>
                <w:rFonts w:ascii="Calibri" w:hAnsi="Calibri" w:eastAsia="Calibri"/>
                <w:b w:val="0"/>
                <w:i w:val="0"/>
                <w:sz w:val="20"/>
              </w:rPr>
              <w:t>Не копировать как условие каждой отметки</w:t>
            </w:r>
          </w:p>
        </w:tc>
      </w:tr>
      <w:tr>
        <w:tc>
          <w:tcPr>
            <w:tcW w:type="dxa" w:w="2339"/>
          </w:tcPr>
          <w:p>
            <w:r/>
            <w:r>
              <w:rPr>
                <w:rFonts w:ascii="Calibri" w:hAnsi="Calibri" w:eastAsia="Calibri"/>
                <w:b/>
                <w:i w:val="0"/>
                <w:sz w:val="20"/>
              </w:rPr>
              <w:t>Сингапур</w:t>
            </w:r>
          </w:p>
        </w:tc>
        <w:tc>
          <w:tcPr>
            <w:tcW w:type="dxa" w:w="2339"/>
          </w:tcPr>
          <w:p>
            <w:r/>
            <w:r>
              <w:rPr>
                <w:rFonts w:ascii="Calibri" w:hAnsi="Calibri" w:eastAsia="Calibri"/>
                <w:b w:val="0"/>
                <w:i w:val="0"/>
                <w:sz w:val="20"/>
              </w:rPr>
              <w:t>Госреестр TRS для проверки обучения до допуска</w:t>
            </w:r>
          </w:p>
        </w:tc>
        <w:tc>
          <w:tcPr>
            <w:tcW w:type="dxa" w:w="2339"/>
          </w:tcPr>
          <w:p>
            <w:r/>
            <w:r>
              <w:rPr>
                <w:rFonts w:ascii="Calibri" w:hAnsi="Calibri" w:eastAsia="Calibri"/>
                <w:b w:val="0"/>
                <w:i w:val="0"/>
                <w:sz w:val="20"/>
              </w:rPr>
              <w:t>Сервис, а не запрет</w:t>
            </w:r>
          </w:p>
        </w:tc>
        <w:tc>
          <w:tcPr>
            <w:tcW w:type="dxa" w:w="2339"/>
          </w:tcPr>
          <w:p>
            <w:r/>
            <w:r>
              <w:rPr>
                <w:rFonts w:ascii="Calibri" w:hAnsi="Calibri" w:eastAsia="Calibri"/>
                <w:b w:val="0"/>
                <w:i w:val="0"/>
                <w:sz w:val="20"/>
              </w:rPr>
              <w:t>Да, как мотив реестра подрядчиков</w:t>
            </w:r>
          </w:p>
        </w:tc>
      </w:tr>
      <w:tr>
        <w:tc>
          <w:tcPr>
            <w:tcW w:type="dxa" w:w="2339"/>
          </w:tcPr>
          <w:p>
            <w:r/>
            <w:r>
              <w:rPr>
                <w:rFonts w:ascii="Calibri" w:hAnsi="Calibri" w:eastAsia="Calibri"/>
                <w:b/>
                <w:i w:val="0"/>
                <w:sz w:val="20"/>
              </w:rPr>
              <w:t>Испания</w:t>
            </w:r>
          </w:p>
        </w:tc>
        <w:tc>
          <w:tcPr>
            <w:tcW w:type="dxa" w:w="2339"/>
          </w:tcPr>
          <w:p>
            <w:r/>
            <w:r>
              <w:rPr>
                <w:rFonts w:ascii="Calibri" w:hAnsi="Calibri" w:eastAsia="Calibri"/>
                <w:b w:val="0"/>
                <w:i w:val="0"/>
                <w:sz w:val="20"/>
              </w:rPr>
              <w:t>LEC 326.4 — презумпция квалифицированного сервиса</w:t>
            </w:r>
          </w:p>
        </w:tc>
        <w:tc>
          <w:tcPr>
            <w:tcW w:type="dxa" w:w="2339"/>
          </w:tcPr>
          <w:p>
            <w:r/>
            <w:r>
              <w:rPr>
                <w:rFonts w:ascii="Calibri" w:hAnsi="Calibri" w:eastAsia="Calibri"/>
                <w:b w:val="0"/>
                <w:i w:val="0"/>
                <w:sz w:val="20"/>
              </w:rPr>
              <w:t>Процессуальный бонус QTSP</w:t>
            </w:r>
          </w:p>
        </w:tc>
        <w:tc>
          <w:tcPr>
            <w:tcW w:type="dxa" w:w="2339"/>
          </w:tcPr>
          <w:p>
            <w:r/>
            <w:r>
              <w:rPr>
                <w:rFonts w:ascii="Calibri" w:hAnsi="Calibri" w:eastAsia="Calibri"/>
                <w:b w:val="0"/>
                <w:i w:val="0"/>
                <w:sz w:val="20"/>
              </w:rPr>
              <w:t>Квитанция ДТС ЕАЭС как доказательство — да</w:t>
            </w:r>
          </w:p>
        </w:tc>
      </w:tr>
    </w:tbl>
    <w:p/>
    <w:p>
      <w:pPr>
        <w:pStyle w:val="Heading1"/>
        <w:ind w:firstLine="0"/>
      </w:pPr>
      <w:r>
        <w:rPr>
          <w:rFonts w:ascii="Times New Roman" w:hAnsi="Times New Roman" w:eastAsia="Times New Roman"/>
          <w:b/>
          <w:i w:val="0"/>
          <w:color w:val="1F4E79"/>
          <w:sz w:val="28"/>
        </w:rPr>
        <w:t>10. Выводы</w:t>
      </w:r>
    </w:p>
    <w:p>
      <w:pPr>
        <w:spacing w:line="360" w:lineRule="auto"/>
        <w:ind w:firstLine="709"/>
      </w:pPr>
      <w:r>
        <w:rPr>
          <w:rFonts w:ascii="Times New Roman" w:hAnsi="Times New Roman" w:eastAsia="Times New Roman"/>
          <w:b w:val="0"/>
          <w:i w:val="0"/>
          <w:sz w:val="28"/>
        </w:rPr>
        <w:t>Первое. Структура раздела отчёта Сколково (2023) остаётся рабочей: понятие ЭДО → виды подписей → таблица стран → судебная практика → риски ПЭП → требования к системам → документы СУОТ → инструктажи. Кадровый оборот вписывается в эту схему без отдельного «закона об ЭДО в ОТ».</w:t>
      </w:r>
    </w:p>
    <w:p>
      <w:pPr>
        <w:spacing w:line="360" w:lineRule="auto"/>
        <w:ind w:firstLine="709"/>
      </w:pPr>
      <w:r>
        <w:rPr>
          <w:rFonts w:ascii="Times New Roman" w:hAnsi="Times New Roman" w:eastAsia="Times New Roman"/>
          <w:b w:val="0"/>
          <w:i w:val="0"/>
          <w:sz w:val="28"/>
        </w:rPr>
        <w:t>Второе. Общие требования к кадровому ЭДО во всех 13 юрисдикциях плюс РФ одни и те же: недискриминация электронной формы, идентификация, целостность, воспроизводимость, соразмерность подписи риску. Работнику почти везде достаточно простой или усиленной неквалифицированной подписи; квалифицированная — у руководителя и на высокорисковых актах.</w:t>
      </w:r>
    </w:p>
    <w:p>
      <w:pPr>
        <w:spacing w:line="360" w:lineRule="auto"/>
        <w:ind w:firstLine="709"/>
      </w:pPr>
      <w:r>
        <w:rPr>
          <w:rFonts w:ascii="Times New Roman" w:hAnsi="Times New Roman" w:eastAsia="Times New Roman"/>
          <w:b w:val="0"/>
          <w:i w:val="0"/>
          <w:sz w:val="28"/>
        </w:rPr>
        <w:t>Третье. Индивидуальные требования точечны. Уникальный российский барьер — ч. 3 ст. 22.1 ТК (журналы инструктажа и акты НС). Ближайший образец легализации журнала — Беларусь, п. 35 Инструкции № 175. Казахстан даёт более жёсткий вариант с ЭЦП. Сербия показывает, как выглядит узкое бумажное исключение. Кения показывает, что молчание отраслевого закона не спасает, если процессуальный вход узкий.</w:t>
      </w:r>
    </w:p>
    <w:p>
      <w:pPr>
        <w:spacing w:line="360" w:lineRule="auto"/>
        <w:ind w:firstLine="709"/>
      </w:pPr>
      <w:r>
        <w:rPr>
          <w:rFonts w:ascii="Times New Roman" w:hAnsi="Times New Roman" w:eastAsia="Times New Roman"/>
          <w:b w:val="0"/>
          <w:i w:val="0"/>
          <w:sz w:val="28"/>
        </w:rPr>
        <w:t>Четвёртое. Судебная практика (и российская, и зарубежная) проверяет волю и содержание, а не бренд системы. Дело «Винлаб» — про осознание УНЭП при увольнении. ВС 49‑АД24‑22‑К6 — про реквизиты журнала и факт повторного инструктажа. BAG и Redmond — про связь обучения с оценкой рисков. Перенос в РФ: электронный журнал не заменяет пустой инструктаж, а бумажный журнал не доказывает обучение, если в нём нет ЛНА и факта допуска.</w:t>
      </w:r>
    </w:p>
    <w:p>
      <w:pPr>
        <w:spacing w:line="360" w:lineRule="auto"/>
        <w:ind w:firstLine="709"/>
      </w:pPr>
      <w:r>
        <w:rPr>
          <w:rFonts w:ascii="Times New Roman" w:hAnsi="Times New Roman" w:eastAsia="Times New Roman"/>
          <w:b w:val="0"/>
          <w:i w:val="0"/>
          <w:sz w:val="28"/>
        </w:rPr>
        <w:t>Пятое. Практический вектор совпадает с тем, что предлагал отчёт Сколково, и уточняется зарубежным материалом 2026 г.: единые правила ПЭП/УНЭП/УКЭП по категориям участников; ПЭП работника на ознакомлении; не требовать УКЭП у каждого рабочего; журнал инструктажа легализовать по белорусским условиям, акт НС не смешивать с «лёгким» КЭДО.</w:t>
      </w:r>
    </w:p>
    <w:p>
      <w:pPr>
        <w:pStyle w:val="Heading1"/>
        <w:ind w:firstLine="0"/>
      </w:pPr>
      <w:r>
        <w:rPr>
          <w:rFonts w:ascii="Times New Roman" w:hAnsi="Times New Roman" w:eastAsia="Times New Roman"/>
          <w:b/>
          <w:i w:val="0"/>
          <w:color w:val="1F4E79"/>
          <w:sz w:val="28"/>
        </w:rPr>
        <w:t>Источники (основные)</w:t>
      </w:r>
    </w:p>
    <w:p>
      <w:pPr>
        <w:pStyle w:val="ListBullet"/>
      </w:pPr>
      <w:r>
        <w:rPr>
          <w:rFonts w:ascii="Times New Roman" w:hAnsi="Times New Roman" w:eastAsia="Times New Roman"/>
          <w:b w:val="0"/>
          <w:i w:val="0"/>
          <w:sz w:val="24"/>
        </w:rPr>
        <w:t xml:space="preserve">149‑ФЗ об информации: </w:t>
      </w:r>
      <w:hyperlink r:id="rId23">
        <w:r>
          <w:rPr>
            <w:color w:val="0563C1"/>
            <w:u w:val="single"/>
            <w:sz w:val="24"/>
            <w:rFonts w:ascii="Calibri" w:hAnsi="Calibri"/>
          </w:rPr>
          <w:t xml:space="preserve">https://www.consultant.ru/document/cons_doc_LAW_61798/</w:t>
        </w:r>
      </w:hyperlink>
    </w:p>
    <w:p>
      <w:pPr>
        <w:pStyle w:val="ListBullet"/>
      </w:pPr>
      <w:r>
        <w:rPr>
          <w:rFonts w:ascii="Times New Roman" w:hAnsi="Times New Roman" w:eastAsia="Times New Roman"/>
          <w:b w:val="0"/>
          <w:i w:val="0"/>
          <w:sz w:val="24"/>
        </w:rPr>
        <w:t xml:space="preserve">63‑ФЗ об электронной подписи: </w:t>
      </w:r>
      <w:hyperlink r:id="rId10">
        <w:r>
          <w:rPr>
            <w:color w:val="0563C1"/>
            <w:u w:val="single"/>
            <w:sz w:val="24"/>
            <w:rFonts w:ascii="Calibri" w:hAnsi="Calibri"/>
          </w:rPr>
          <w:t xml:space="preserve">https://www.consultant.ru/document/cons_doc_LAW_112701/</w:t>
        </w:r>
      </w:hyperlink>
    </w:p>
    <w:p>
      <w:pPr>
        <w:pStyle w:val="ListBullet"/>
      </w:pPr>
      <w:r>
        <w:rPr>
          <w:rFonts w:ascii="Times New Roman" w:hAnsi="Times New Roman" w:eastAsia="Times New Roman"/>
          <w:b w:val="0"/>
          <w:i w:val="0"/>
          <w:sz w:val="24"/>
        </w:rPr>
        <w:t xml:space="preserve">ТК РФ, ст. 22.1–22.3: </w:t>
      </w:r>
      <w:hyperlink r:id="rId11">
        <w:r>
          <w:rPr>
            <w:color w:val="0563C1"/>
            <w:u w:val="single"/>
            <w:sz w:val="24"/>
            <w:rFonts w:ascii="Calibri" w:hAnsi="Calibri"/>
          </w:rPr>
          <w:t xml:space="preserve">https://www.consultant.ru/document/cons_doc_LAW_34683/</w:t>
        </w:r>
      </w:hyperlink>
    </w:p>
    <w:p>
      <w:pPr>
        <w:pStyle w:val="ListBullet"/>
      </w:pPr>
      <w:r>
        <w:rPr>
          <w:rFonts w:ascii="Times New Roman" w:hAnsi="Times New Roman" w:eastAsia="Times New Roman"/>
          <w:b w:val="0"/>
          <w:i w:val="0"/>
          <w:sz w:val="24"/>
        </w:rPr>
        <w:t xml:space="preserve">ПП РФ № 2464: </w:t>
      </w:r>
      <w:hyperlink r:id="rId25">
        <w:r>
          <w:rPr>
            <w:color w:val="0563C1"/>
            <w:u w:val="single"/>
            <w:sz w:val="24"/>
            <w:rFonts w:ascii="Calibri" w:hAnsi="Calibri"/>
          </w:rPr>
          <w:t xml:space="preserve">https://www.consultant.ru/document/cons_doc_LAW_405146/</w:t>
        </w:r>
      </w:hyperlink>
    </w:p>
    <w:p>
      <w:pPr>
        <w:pStyle w:val="ListBullet"/>
      </w:pPr>
      <w:r>
        <w:rPr>
          <w:rFonts w:ascii="Times New Roman" w:hAnsi="Times New Roman" w:eastAsia="Times New Roman"/>
          <w:b w:val="0"/>
          <w:i w:val="0"/>
          <w:sz w:val="24"/>
        </w:rPr>
        <w:t xml:space="preserve">Пленум ВС РФ № 25, п. 65: </w:t>
      </w:r>
      <w:hyperlink r:id="rId27">
        <w:r>
          <w:rPr>
            <w:color w:val="0563C1"/>
            <w:u w:val="single"/>
            <w:sz w:val="24"/>
            <w:rFonts w:ascii="Calibri" w:hAnsi="Calibri"/>
          </w:rPr>
          <w:t xml:space="preserve">https://www.consultant.ru/document/cons_doc_LAW_181602/</w:t>
        </w:r>
      </w:hyperlink>
    </w:p>
    <w:p>
      <w:pPr>
        <w:pStyle w:val="ListBullet"/>
      </w:pPr>
      <w:r>
        <w:rPr>
          <w:rFonts w:ascii="Times New Roman" w:hAnsi="Times New Roman" w:eastAsia="Times New Roman"/>
          <w:b w:val="0"/>
          <w:i w:val="0"/>
          <w:sz w:val="24"/>
        </w:rPr>
        <w:t xml:space="preserve">Пленум ВС РФ № 2 (17.03.2004): </w:t>
      </w:r>
      <w:hyperlink r:id="rId26">
        <w:r>
          <w:rPr>
            <w:color w:val="0563C1"/>
            <w:u w:val="single"/>
            <w:sz w:val="24"/>
            <w:rFonts w:ascii="Calibri" w:hAnsi="Calibri"/>
          </w:rPr>
          <w:t xml:space="preserve">https://www.consultant.ru/document/cons_doc_LAW_47257/</w:t>
        </w:r>
      </w:hyperlink>
    </w:p>
    <w:p>
      <w:pPr>
        <w:pStyle w:val="ListBullet"/>
      </w:pPr>
      <w:r>
        <w:rPr>
          <w:rFonts w:ascii="Times New Roman" w:hAnsi="Times New Roman" w:eastAsia="Times New Roman"/>
          <w:b w:val="0"/>
          <w:i w:val="0"/>
          <w:sz w:val="24"/>
        </w:rPr>
        <w:t xml:space="preserve">Письмо Минтруда 14‑6/ООГ‑97: </w:t>
      </w:r>
      <w:hyperlink r:id="rId24">
        <w:r>
          <w:rPr>
            <w:color w:val="0563C1"/>
            <w:u w:val="single"/>
            <w:sz w:val="24"/>
            <w:rFonts w:ascii="Calibri" w:hAnsi="Calibri"/>
          </w:rPr>
          <w:t xml:space="preserve">https://base.garant.ru/406201483/</w:t>
        </w:r>
      </w:hyperlink>
    </w:p>
    <w:p>
      <w:pPr>
        <w:pStyle w:val="ListBullet"/>
      </w:pPr>
      <w:r>
        <w:rPr>
          <w:rFonts w:ascii="Times New Roman" w:hAnsi="Times New Roman" w:eastAsia="Times New Roman"/>
          <w:b w:val="0"/>
          <w:i w:val="0"/>
          <w:sz w:val="24"/>
        </w:rPr>
        <w:t xml:space="preserve">ВС РФ № 49‑АД24‑22‑К6: </w:t>
      </w:r>
      <w:hyperlink r:id="rId28">
        <w:r>
          <w:rPr>
            <w:color w:val="0563C1"/>
            <w:u w:val="single"/>
            <w:sz w:val="24"/>
            <w:rFonts w:ascii="Calibri" w:hAnsi="Calibri"/>
          </w:rPr>
          <w:t xml:space="preserve">https://www.garant.ru/news/1759182/</w:t>
        </w:r>
      </w:hyperlink>
    </w:p>
    <w:p>
      <w:pPr>
        <w:pStyle w:val="ListBullet"/>
      </w:pPr>
      <w:r>
        <w:rPr>
          <w:rFonts w:ascii="Times New Roman" w:hAnsi="Times New Roman" w:eastAsia="Times New Roman"/>
          <w:b w:val="0"/>
          <w:i w:val="0"/>
          <w:sz w:val="24"/>
        </w:rPr>
        <w:t xml:space="preserve">eIDAS (EU) 910/2014: </w:t>
      </w:r>
      <w:hyperlink r:id="rId9">
        <w:r>
          <w:rPr>
            <w:color w:val="0563C1"/>
            <w:u w:val="single"/>
            <w:sz w:val="24"/>
            <w:rFonts w:ascii="Calibri" w:hAnsi="Calibri"/>
          </w:rPr>
          <w:t xml:space="preserve">https://eur-lex.europa.eu/legal-content/EN/TXT/?uri=CELEX:32014R0910</w:t>
        </w:r>
      </w:hyperlink>
    </w:p>
    <w:p>
      <w:pPr>
        <w:pStyle w:val="ListBullet"/>
      </w:pPr>
      <w:r>
        <w:rPr>
          <w:rFonts w:ascii="Times New Roman" w:hAnsi="Times New Roman" w:eastAsia="Times New Roman"/>
          <w:b w:val="0"/>
          <w:i w:val="0"/>
          <w:sz w:val="24"/>
        </w:rPr>
        <w:t xml:space="preserve">ESIGN Act: </w:t>
      </w:r>
      <w:hyperlink r:id="rId15">
        <w:r>
          <w:rPr>
            <w:color w:val="0563C1"/>
            <w:u w:val="single"/>
            <w:sz w:val="24"/>
            <w:rFonts w:ascii="Calibri" w:hAnsi="Calibri"/>
          </w:rPr>
          <w:t xml:space="preserve">https://www.law.cornell.edu/uscode/text/15/chapter-96</w:t>
        </w:r>
      </w:hyperlink>
    </w:p>
    <w:p>
      <w:pPr>
        <w:pStyle w:val="ListBullet"/>
      </w:pPr>
      <w:r>
        <w:rPr>
          <w:rFonts w:ascii="Times New Roman" w:hAnsi="Times New Roman" w:eastAsia="Times New Roman"/>
          <w:b w:val="0"/>
          <w:i w:val="0"/>
          <w:sz w:val="24"/>
        </w:rPr>
        <w:t xml:space="preserve">ECA 2000 s.7: </w:t>
      </w:r>
      <w:hyperlink r:id="rId14">
        <w:r>
          <w:rPr>
            <w:color w:val="0563C1"/>
            <w:u w:val="single"/>
            <w:sz w:val="24"/>
            <w:rFonts w:ascii="Calibri" w:hAnsi="Calibri"/>
          </w:rPr>
          <w:t xml:space="preserve">https://www.legislation.gov.uk/ukpga/2000/7/section/7</w:t>
        </w:r>
      </w:hyperlink>
    </w:p>
    <w:p>
      <w:pPr>
        <w:pStyle w:val="ListBullet"/>
      </w:pPr>
      <w:r>
        <w:rPr>
          <w:rFonts w:ascii="Times New Roman" w:hAnsi="Times New Roman" w:eastAsia="Times New Roman"/>
          <w:b w:val="0"/>
          <w:i w:val="0"/>
          <w:sz w:val="24"/>
        </w:rPr>
        <w:t xml:space="preserve">Закон РК № 370: </w:t>
      </w:r>
      <w:hyperlink r:id="rId18">
        <w:r>
          <w:rPr>
            <w:color w:val="0563C1"/>
            <w:u w:val="single"/>
            <w:sz w:val="24"/>
            <w:rFonts w:ascii="Calibri" w:hAnsi="Calibri"/>
          </w:rPr>
          <w:t xml:space="preserve">https://adilet.zan.kz/rus/docs/Z030000370_</w:t>
        </w:r>
      </w:hyperlink>
    </w:p>
    <w:p>
      <w:pPr>
        <w:pStyle w:val="ListBullet"/>
      </w:pPr>
      <w:r>
        <w:rPr>
          <w:rFonts w:ascii="Times New Roman" w:hAnsi="Times New Roman" w:eastAsia="Times New Roman"/>
          <w:b w:val="0"/>
          <w:i w:val="0"/>
          <w:sz w:val="24"/>
        </w:rPr>
        <w:t xml:space="preserve">Инструкция Минтруда РБ № 175, п. 35: </w:t>
      </w:r>
      <w:hyperlink r:id="rId19">
        <w:r>
          <w:rPr>
            <w:color w:val="0563C1"/>
            <w:u w:val="single"/>
            <w:sz w:val="24"/>
            <w:rFonts w:ascii="Calibri" w:hAnsi="Calibri"/>
          </w:rPr>
          <w:t xml:space="preserve">https://www.mintrud.gov.by/uploads/files/MTiSZ-175-po-sost.-na-02.09.2024.pdf</w:t>
        </w:r>
      </w:hyperlink>
    </w:p>
    <w:p>
      <w:pPr>
        <w:pStyle w:val="ListBullet"/>
      </w:pPr>
      <w:r>
        <w:rPr>
          <w:rFonts w:ascii="Times New Roman" w:hAnsi="Times New Roman" w:eastAsia="Times New Roman"/>
          <w:b w:val="0"/>
          <w:i w:val="0"/>
          <w:sz w:val="24"/>
        </w:rPr>
        <w:t xml:space="preserve">OSHA LOI 14.08.1997: </w:t>
      </w:r>
      <w:hyperlink r:id="rId22">
        <w:r>
          <w:rPr>
            <w:color w:val="0563C1"/>
            <w:u w:val="single"/>
            <w:sz w:val="24"/>
            <w:rFonts w:ascii="Calibri" w:hAnsi="Calibri"/>
          </w:rPr>
          <w:t xml:space="preserve">https://www.osha.gov/laws-regs/standardinterpretations/1997-08-14</w:t>
        </w:r>
      </w:hyperlink>
    </w:p>
    <w:p>
      <w:pPr>
        <w:pStyle w:val="ListBullet"/>
      </w:pPr>
      <w:r>
        <w:rPr>
          <w:rFonts w:ascii="Times New Roman" w:hAnsi="Times New Roman" w:eastAsia="Times New Roman"/>
          <w:b w:val="0"/>
          <w:i w:val="0"/>
          <w:sz w:val="24"/>
        </w:rPr>
        <w:t xml:space="preserve">eIDAS 2.0 2024/1183: </w:t>
      </w:r>
      <w:hyperlink r:id="rId42">
        <w:r>
          <w:rPr>
            <w:color w:val="0563C1"/>
            <w:u w:val="single"/>
            <w:sz w:val="24"/>
            <w:rFonts w:ascii="Calibri" w:hAnsi="Calibri"/>
          </w:rPr>
          <w:t xml:space="preserve">https://eur-lex.europa.eu/legal-content/EN/TXT/?uri=CELEX:32024R1183</w:t>
        </w:r>
      </w:hyperlink>
    </w:p>
    <w:p>
      <w:pPr>
        <w:pStyle w:val="ListBullet"/>
      </w:pPr>
      <w:r>
        <w:rPr>
          <w:rFonts w:ascii="Times New Roman" w:hAnsi="Times New Roman" w:eastAsia="Times New Roman"/>
          <w:b w:val="0"/>
          <w:i w:val="0"/>
          <w:sz w:val="24"/>
        </w:rPr>
        <w:t xml:space="preserve">BAG 1 ABR 104/09: </w:t>
      </w:r>
      <w:hyperlink r:id="rId30">
        <w:r>
          <w:rPr>
            <w:color w:val="0563C1"/>
            <w:u w:val="single"/>
            <w:sz w:val="24"/>
            <w:rFonts w:ascii="Calibri" w:hAnsi="Calibri"/>
          </w:rPr>
          <w:t xml:space="preserve">https://www.bundesarbeitsgericht.de/entscheidung/1-abr-104-09/</w:t>
        </w:r>
      </w:hyperlink>
    </w:p>
    <w:p>
      <w:pPr>
        <w:pStyle w:val="ListBullet"/>
      </w:pPr>
      <w:r>
        <w:rPr>
          <w:rFonts w:ascii="Times New Roman" w:hAnsi="Times New Roman" w:eastAsia="Times New Roman"/>
          <w:b w:val="0"/>
          <w:i w:val="0"/>
          <w:sz w:val="24"/>
        </w:rPr>
        <w:t xml:space="preserve">Evidence Act Cap 80 (Kenya): </w:t>
      </w:r>
      <w:hyperlink r:id="rId21">
        <w:r>
          <w:rPr>
            <w:color w:val="0563C1"/>
            <w:u w:val="single"/>
            <w:sz w:val="24"/>
            <w:rFonts w:ascii="Calibri" w:hAnsi="Calibri"/>
          </w:rPr>
          <w:t xml:space="preserve">https://new.kenyalaw.org/akn/ke/act/1963/46</w:t>
        </w:r>
      </w:hyperlink>
    </w:p>
    <w:p>
      <w:pPr>
        <w:ind w:firstLine="0"/>
      </w:pPr>
      <w:r>
        <w:rPr>
          <w:rFonts w:ascii="Times New Roman" w:hAnsi="Times New Roman" w:eastAsia="Times New Roman"/>
          <w:b w:val="0"/>
          <w:i/>
          <w:color w:val="535353"/>
          <w:sz w:val="24"/>
        </w:rPr>
        <w:t>Структура раздела воспроизводит логику отчёта Фонда «Сколково» о НИР по цифровизации охраны труда (рег. № НИОКТР 123090700011‑8, 2023). Фактическое наполнение — законодательство и практика по состоянию на август 2026 г. Номера судебных дел не вымышлены.</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EN/TXT/?uri=CELEX:32014R0910" TargetMode="External"/><Relationship Id="rId10" Type="http://schemas.openxmlformats.org/officeDocument/2006/relationships/hyperlink" Target="https://www.consultant.ru/document/cons_doc_LAW_112701/" TargetMode="External"/><Relationship Id="rId11" Type="http://schemas.openxmlformats.org/officeDocument/2006/relationships/hyperlink" Target="https://www.consultant.ru/document/cons_doc_LAW_34683/" TargetMode="External"/><Relationship Id="rId12" Type="http://schemas.openxmlformats.org/officeDocument/2006/relationships/hyperlink" Target="https://www.gesetze-im-internet.de/bgb/__126a.html" TargetMode="External"/><Relationship Id="rId13" Type="http://schemas.openxmlformats.org/officeDocument/2006/relationships/hyperlink" Target="https://www.irishstatutebook.ie/eli/2000/act/27/enacted/en/html" TargetMode="External"/><Relationship Id="rId14" Type="http://schemas.openxmlformats.org/officeDocument/2006/relationships/hyperlink" Target="https://www.legislation.gov.uk/ukpga/2000/7/section/7" TargetMode="External"/><Relationship Id="rId15" Type="http://schemas.openxmlformats.org/officeDocument/2006/relationships/hyperlink" Target="https://www.law.cornell.edu/uscode/text/15/chapter-96" TargetMode="External"/><Relationship Id="rId16" Type="http://schemas.openxmlformats.org/officeDocument/2006/relationships/hyperlink" Target="https://sso.agc.gov.sg/Act/ETA2010" TargetMode="External"/><Relationship Id="rId17" Type="http://schemas.openxmlformats.org/officeDocument/2006/relationships/hyperlink" Target="https://www.wipo.int/wipolex/en/legislation/details/6563" TargetMode="External"/><Relationship Id="rId18" Type="http://schemas.openxmlformats.org/officeDocument/2006/relationships/hyperlink" Target="https://adilet.zan.kz/rus/docs/Z030000370_" TargetMode="External"/><Relationship Id="rId19" Type="http://schemas.openxmlformats.org/officeDocument/2006/relationships/hyperlink" Target="https://www.mintrud.gov.by/uploads/files/MTiSZ-175-po-sost.-na-02.09.2024.pdf" TargetMode="External"/><Relationship Id="rId20" Type="http://schemas.openxmlformats.org/officeDocument/2006/relationships/hyperlink" Target="https://www.paragraf.rs/propisi/zakon-o-bezbednosti-i-zdravlju-na-radu.html" TargetMode="External"/><Relationship Id="rId21" Type="http://schemas.openxmlformats.org/officeDocument/2006/relationships/hyperlink" Target="https://new.kenyalaw.org/akn/ke/act/1963/46" TargetMode="External"/><Relationship Id="rId22" Type="http://schemas.openxmlformats.org/officeDocument/2006/relationships/hyperlink" Target="https://www.osha.gov/laws-regs/standardinterpretations/1997-08-14" TargetMode="External"/><Relationship Id="rId23" Type="http://schemas.openxmlformats.org/officeDocument/2006/relationships/hyperlink" Target="https://www.consultant.ru/document/cons_doc_LAW_61798/" TargetMode="External"/><Relationship Id="rId24" Type="http://schemas.openxmlformats.org/officeDocument/2006/relationships/hyperlink" Target="https://base.garant.ru/406201483/" TargetMode="External"/><Relationship Id="rId25" Type="http://schemas.openxmlformats.org/officeDocument/2006/relationships/hyperlink" Target="https://www.consultant.ru/document/cons_doc_LAW_405146/" TargetMode="External"/><Relationship Id="rId26" Type="http://schemas.openxmlformats.org/officeDocument/2006/relationships/hyperlink" Target="https://www.consultant.ru/document/cons_doc_LAW_47257/" TargetMode="External"/><Relationship Id="rId27" Type="http://schemas.openxmlformats.org/officeDocument/2006/relationships/hyperlink" Target="https://www.consultant.ru/document/cons_doc_LAW_181602/" TargetMode="External"/><Relationship Id="rId28" Type="http://schemas.openxmlformats.org/officeDocument/2006/relationships/hyperlink" Target="https://www.garant.ru/news/1759182/" TargetMode="External"/><Relationship Id="rId29" Type="http://schemas.openxmlformats.org/officeDocument/2006/relationships/hyperlink" Target="https://www.bundesgerichtshof.de/SharedDocs/Entscheidungen/DE/Zivilsenate/VIII_ZS/2023/VIII_ZR_155-23.pdf?__blob=publicationFile&amp;v=1" TargetMode="External"/><Relationship Id="rId30" Type="http://schemas.openxmlformats.org/officeDocument/2006/relationships/hyperlink" Target="https://www.bundesarbeitsgericht.de/entscheidung/1-abr-104-09/" TargetMode="External"/><Relationship Id="rId31" Type="http://schemas.openxmlformats.org/officeDocument/2006/relationships/hyperlink" Target="https://zakony-by.com/hozyajstvennyj_protsessualnyj_kodeks_rb/84.htm" TargetMode="External"/><Relationship Id="rId32" Type="http://schemas.openxmlformats.org/officeDocument/2006/relationships/hyperlink" Target="https://www.prlegal.rs/filing-a-complaint-via-email-yes-it-is-possible/" TargetMode="External"/><Relationship Id="rId33" Type="http://schemas.openxmlformats.org/officeDocument/2006/relationships/hyperlink" Target="https://www.lexology.com/library/detail.aspx?g=123a20c5-c0a7-425d-8c37-c9892c70dc93" TargetMode="External"/><Relationship Id="rId34" Type="http://schemas.openxmlformats.org/officeDocument/2006/relationships/hyperlink" Target="https://www.boe.es/eli/es/l/2020/11/11/6" TargetMode="External"/><Relationship Id="rId35" Type="http://schemas.openxmlformats.org/officeDocument/2006/relationships/hyperlink" Target="https://www.boe.es/buscar/act.php?id=BOE-A-1995-24292" TargetMode="External"/><Relationship Id="rId36" Type="http://schemas.openxmlformats.org/officeDocument/2006/relationships/hyperlink" Target="https://www.bailii.org/ie/cases/IEHC/2010/H47.html" TargetMode="External"/><Relationship Id="rId37" Type="http://schemas.openxmlformats.org/officeDocument/2006/relationships/hyperlink" Target="https://www.bailii.org/ie/cases/IEHC/2024/2024IEHC167.html" TargetMode="External"/><Relationship Id="rId38" Type="http://schemas.openxmlformats.org/officeDocument/2006/relationships/hyperlink" Target="https://www.legalis.net/jurisprudences/cour-de-cassation-civile-ch-civile-3-arret-du-5-mars-2026/" TargetMode="External"/><Relationship Id="rId39" Type="http://schemas.openxmlformats.org/officeDocument/2006/relationships/hyperlink" Target="https://ogletree.fr/publications/od-flash-resiliation-judiciaire-du-contrat-de-travail-et-accident-du-travail-charge-de-la-preuve-en-cas-de-manquement-de-lemployeur-aux-regles-de-prevention-et-de-securite/" TargetMode="External"/><Relationship Id="rId40" Type="http://schemas.openxmlformats.org/officeDocument/2006/relationships/hyperlink" Target="https://new.kenyalaw.org/akn/ke/judgment/keelc/2025/392/eng@2025-02-06" TargetMode="External"/><Relationship Id="rId41" Type="http://schemas.openxmlformats.org/officeDocument/2006/relationships/hyperlink" Target="https://sheriahub.com/cases/ke/caselaw/bigot-flowers-kenya-ltd-v-cheboswony-employment-and-labour-relations-appeal-10of-2018-2022-keelrc-3772-klr-10may-2022-judgment.pdf" TargetMode="External"/><Relationship Id="rId42" Type="http://schemas.openxmlformats.org/officeDocument/2006/relationships/hyperlink" Target="https://eur-lex.europa.eu/legal-content/EN/TXT/?uri=CELEX:32024R1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