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B8AC449" w14:textId="77777777" w:rsidR="00DF7EB2" w:rsidRPr="00DF7EB2" w:rsidRDefault="00DF7EB2" w:rsidP="00DF7EB2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5990BC5" w14:textId="77777777" w:rsidR="00DF7EB2" w:rsidRPr="00DF7EB2" w:rsidRDefault="00DF7EB2" w:rsidP="00DF7EB2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B656A19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Российский химико-технологический университет Д.И. Менделеева</w:t>
      </w:r>
    </w:p>
    <w:p w14:paraId="1CA3F948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</w:p>
    <w:p w14:paraId="599EFB79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0" w:type="auto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6"/>
        <w:gridCol w:w="4394"/>
      </w:tblGrid>
      <w:tr w:rsidR="00DF7EB2" w:rsidRPr="00DF7EB2" w14:paraId="7AF063F0" w14:textId="77777777" w:rsidTr="00D47F47">
        <w:trPr>
          <w:trHeight w:val="493"/>
        </w:trPr>
        <w:tc>
          <w:tcPr>
            <w:tcW w:w="4536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223343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Факультет</w:t>
            </w:r>
          </w:p>
          <w:p w14:paraId="1215772C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инженерный химико-технологический</w:t>
            </w:r>
          </w:p>
        </w:tc>
        <w:tc>
          <w:tcPr>
            <w:tcW w:w="4394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8980B0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Кафедра</w:t>
            </w:r>
          </w:p>
          <w:p w14:paraId="221AD880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техносферной безопасности</w:t>
            </w:r>
          </w:p>
        </w:tc>
      </w:tr>
    </w:tbl>
    <w:p w14:paraId="7336EC4A" w14:textId="77777777" w:rsidR="00DF7EB2" w:rsidRPr="00DF7EB2" w:rsidRDefault="00DF7EB2" w:rsidP="00DF7EB2">
      <w:pPr>
        <w:spacing w:before="360"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Отчёт</w:t>
      </w:r>
    </w:p>
    <w:p w14:paraId="1D13C7B3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по производственной практике</w:t>
      </w:r>
    </w:p>
    <w:p w14:paraId="1AE0D866" w14:textId="71009EE8" w:rsidR="00DF7EB2" w:rsidRPr="00DF7EB2" w:rsidRDefault="00DF7EB2" w:rsidP="00DF7EB2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студентки группы И-34</w:t>
        <w:br/>
        <w:t>Виноградова Мария Евгеньевна</w:t>
      </w: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shd w:val="clear" w:color="auto" w:fill="FFFF00"/>
          <w:lang w:eastAsia="ru-RU"/>
          <w14:ligatures w14:val="none"/>
        </w:rPr>
      </w:r>
      <w:r w:rsidRPr="00DF7EB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r>
    </w:p>
    <w:p w14:paraId="3EDA87A3" w14:textId="156729E2" w:rsidR="00DF7EB2" w:rsidRPr="00DF7EB2" w:rsidRDefault="00DF7EB2" w:rsidP="00142EA1">
      <w:pPr>
        <w:tabs>
          <w:tab w:val="left" w:pos="5157"/>
        </w:tabs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Направление подготовки 20.03.01 Техносферная безопасность</w:t>
      </w:r>
    </w:p>
    <w:p w14:paraId="60925619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Место прохождения практики:</w:t>
      </w:r>
    </w:p>
    <w:p w14:paraId="68FDEDC6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ООО «НПП Рогнеда»</w:t>
      </w:r>
    </w:p>
    <w:p w14:paraId="7097A5F6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5102"/>
      </w:tblGrid>
      <w:tr w:rsidR="00DF7EB2" w:rsidRPr="00DF7EB2" w14:paraId="18FBC7BD" w14:textId="77777777" w:rsidTr="00D47F47">
        <w:trPr>
          <w:trHeight w:val="870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C6B0D4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Студентка: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7A5C34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 ___________/</w:t>
            </w:r>
          </w:p>
          <w:p w14:paraId="523010A7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  <w:tr w:rsidR="00DF7EB2" w:rsidRPr="00DF7EB2" w14:paraId="51D88338" w14:textId="77777777" w:rsidTr="00D47F47">
        <w:trPr>
          <w:trHeight w:val="855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2A54D0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Руководитель практики от организации</w:t>
            </w: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4570E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________/Благодарова С.П./</w:t>
            </w:r>
          </w:p>
          <w:p w14:paraId="068C5D00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  <w:tr w:rsidR="00DF7EB2" w:rsidRPr="00DF7EB2" w14:paraId="1CF59B75" w14:textId="77777777" w:rsidTr="00D47F47">
        <w:trPr>
          <w:trHeight w:val="855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2EDA59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Руководитель практики от университета: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B94D2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________/Мельников Н.О./</w:t>
            </w:r>
          </w:p>
          <w:p w14:paraId="0A092C4F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</w:tbl>
    <w:p w14:paraId="1559994B" w14:textId="77777777" w:rsidR="00DF7EB2" w:rsidRPr="00DF7EB2" w:rsidRDefault="00DF7EB2" w:rsidP="00DF7EB2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95A9828" w14:textId="77777777" w:rsidR="00DF7EB2" w:rsidRPr="00DF7EB2" w:rsidRDefault="00DF7EB2" w:rsidP="00DF7EB2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38BFC11" w14:textId="77777777" w:rsidR="00DF7EB2" w:rsidRPr="00DF7EB2" w:rsidRDefault="00DF7EB2" w:rsidP="00DF7EB2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Оценка за пройденную практику </w:t>
      </w:r>
    </w:p>
    <w:p w14:paraId="7C51E13A" w14:textId="77777777" w:rsidR="00DF7EB2" w:rsidRPr="00DF7EB2" w:rsidRDefault="00DF7EB2" w:rsidP="00DF7EB2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результатам защиты отчета: </w:t>
      </w:r>
    </w:p>
    <w:p w14:paraId="6C3A7217" w14:textId="77777777" w:rsidR="00DF7EB2" w:rsidRPr="00DF7EB2" w:rsidRDefault="00DF7EB2" w:rsidP="00DF7EB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937DEA9" w14:textId="77777777" w:rsidR="00DF7EB2" w:rsidRPr="00DF7EB2" w:rsidRDefault="00DF7EB2" w:rsidP="00DF7EB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F65A814" w14:textId="77777777" w:rsidR="00DF7EB2" w:rsidRPr="00DF7EB2" w:rsidRDefault="00DF7EB2" w:rsidP="00DF7EB2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«___»___________</w:t>
      </w: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2026 г.</w:t>
      </w:r>
    </w:p>
    <w:p w14:paraId="49EDC0F6" w14:textId="77777777" w:rsidR="00DF7EB2" w:rsidRPr="00DF7EB2" w:rsidRDefault="00DF7EB2" w:rsidP="00DF7EB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11071F6" w14:textId="77777777" w:rsidR="00DF7EB2" w:rsidRPr="00DF7EB2" w:rsidRDefault="00DF7EB2" w:rsidP="00DF7EB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BFDE92F" w14:textId="44A054E0" w:rsidR="002F1E6C" w:rsidRDefault="00DF7EB2" w:rsidP="002F1E6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Москва</w:t>
      </w:r>
      <w:r w:rsidR="008B71A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</w:t>
      </w:r>
      <w:bookmarkStart w:id="0" w:name="_GoBack"/>
      <w:bookmarkEnd w:id="0"/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2026</w:t>
      </w:r>
      <w:r w:rsidR="002F1E6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>
      <w:r>
        <w:br w:type="page"/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История и описание предприятия «Рогнеда»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1.1. История компании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1.2. Современное состояние и структура производства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Основная часть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 Система управления охраной труда и промышленной безопасностью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2.1.1. Элементы системы и распределение ответственности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2.1.2. Виды инструктажей, цели и сроки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2.1.3. Причины травматизма, аварий и пожаров. Действия при аварии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2.1.4. Экономический ущерб от травматизма и аварий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2.2. Характеристика производственных цехов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2.2.1. Структура цехов и движение сырья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2.2.2. Исходное сырьё и выпускаемая продукция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2.2.3. Требования безопасности при работе в цехах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2.3. Освидетельствование, приём и сдача оборудования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2.4. Государственный надзор и результаты проверок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2.5. Результаты СОУТ и мероприятия по улучшению условий труда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2.6. Экономические показатели предприятия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используемой литературы</w:t>
      </w:r>
    </w:p>
    <w:p>
      <w:r>
        <w:br w:type="page"/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Производственная практика проходила на базе ООО «Научно-производственное предприятие Рогнеда» (ООО «НПП Рогнеда») — предприятия лакокрасочной отрасли, расположенного в г. Старая Купавна Московской области. Дата выхода на практику: 29 июня 2026 г. Направление подготовки — 20.03.01 «Техносферная безопасность», группа И-34.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практики — получить представление о реальной работе производственного предприятия и о том, как на нём организованы подразделения, отвечающие за безопасные условия труда, промышленную и пожарную безопасность.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Задачи практики: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оценить степень опасности объекта и характер технологических рисков;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разобрать, насколько безопасно организован технологический процесс;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научиться прогнозировать возможные аварийные ситуации;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проанализировать опасные и вредные производственные факторы и степень их воздействия;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изучить особенности безопасного ведения химико-технологических операций;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рассмотреть действующие на предприятии подходы к управлению охраной труда и промышленной безопасностью.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отчёте отражены сведения об истории и структуре предприятия, системе охраны труда, организации инструктажей, порядке работы с оборудованием, результатах специальной оценки условий труда, а также о мерах коллективной и индивидуальной защиты персонала.</w:t>
      </w:r>
    </w:p>
    <w:p>
      <w:pPr>
        <w:spacing w:after="0" w:before="16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Календарный план прохождения практики: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 История и описание предприятия «Рогнеда»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1.1. История компании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Предприятие ведёт свою историю с 1992 года, когда было создано как небольшое научно-производственное объединение. Первыми на рынок вышли контактные клеи и огнебиозащитный состав «КСД» — именно они задали направление дальнейшего развития.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1994 году появился состав «Акватекс», который со временем стал одним из наиболее узнаваемых продуктов компании в сегменте защитно-декоративных покрытий для древесины. В 2007 году стартовало строительство новой производственной площадки в Старой Купавне; завод проектировали как современное предприятие по выпуску лакокрасочных материалов.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Юридическое лицо в форме ООО «НПП РОГНЕДА» зарегистрировано в 2014 году. Основной вид деятельности — производство красок и лаков на основе полимеров. По итогам 2025 года выручка составила около 6,3 млрд руб., чистая прибыль — порядка 569,5 млн руб.; численность персонала — около 280 человек.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1.2. Современное состояние и структура производства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Сегодня «Рогнеда» — это производственно-складской комплекс с собственной научной базой и автоматизированным оборудованием. Ассортимент включает бренды «Акватекс», «Eurotex», «WoodMaster», «Dali», «ECOSEPT» и другие линейки для защиты древесины, металла, бетона и кирпича — как для внутренних, так и для наружных работ.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Основное производство размещено в трёхэтажном корпусе. Логистика построена по вертикальной (каскадной) схеме: сырьё и полупродукты перемещаются сверху вниз. На третьем этаже организованы органическое отделение и хранение компонентов; на втором — отделение водно-дисперсионных красок (ВДК); на первом — зона фасовки, упаковки и отгрузки готовой продукции.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корпусе выделены два ключевых цеха. Водопримессионный цех (ВДК) относится к пожароопасным объектам, поскольку технологические среды в основном водные. Органический цех классифицируется как взрывопожароопасный из-за постоянного обращения летучих органических растворителей.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 Основная часть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 Система управления охраной труда и промышленной безопасностью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2.1.1. Элементы системы и распределение ответственности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СУОТ и промышленная безопасность на предприятии выстроены как многоуровневая система. Генеральный директор утверждает политику в области охраны труда, распределяет зоны ответственности и ресурсы. Отдел охраны труда и промышленной безопасности организует инструктажи и обучение, контролирует соблюдение норм, проводит СОУТ и оценку рисков, участвует в расследовании происшествий и ведёт взаимодействие с надзорными органами.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Руководители цехов отвечают за охрану труда на своих участках, проводят инструктажи на рабочих местах и следят за применением СИЗ. Служба пожарной безопасности поддерживает противопожарный режим, инструкции, планы эвакуации и работоспособность систем пожарной защиты. Научно-технический центр и лаборатории контролируют безопасность технологических процессов и предлагают решения по снижению рисков.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оперативном уровне важную роль играют главный инженер-технолог, который контролирует соблюдение технологического регламента, и аппаратчики 3–6 разряда, непосредственно ведущие процесс и фиксирующие параметры в рабочих журналах.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2.1.2. Виды инструктажей, цели и сроки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Обучение безопасным приёмам работы на предприятии носит обязательный и непрерывный характер. Каждый инструктаж фиксируется в журнале установленной формы. Ниже приведена сводная характеристика видов инструктажей.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Отдельно отмечу: для взрывопожароопасных участков (в том числе органического цеха) повторный инструктаж проводится чаще — как правило, не реже одного раза в квартал. Перед работами повышенной опасности дополнительно оформляется наряд-допуск, а при огневых работах в органическом цехе действуют особые ограничения: в условиях действующего производства такие работы, как правило, не допускаются.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2.1.3. Причины травматизма, аварий и пожаров. Действия при аварии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К основным причинам травматизма и аварий можно отнести: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технические — износ уплотнений, разгерметизация трубопроводов и реакторов, отказ автоматики, недостаточная эффективность вентиляции;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организационные — отступления от регламента, пробелы в квалификации, задержки ремонтов, нехватка СИЗ, нарушение порядка работ по наряду-допуску;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личностные — игнорирование инструкций, невнимательность, использование опасных приёмов труда.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Типичные причины пожаров на лакокрасочном производстве: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нарушения при выполнении огневых работ;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неисправности электрооборудования (короткое замыкание, перегрузки);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разряды статического электричества;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самовозгорание промасленных материалов;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неосторожное обращение с источниками воспламенения.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ликвидации аварии включает обнаружение и оповещение, эвакуацию и спасение людей, локализацию очага и последующую ликвидацию последствий с документированием происшествия.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2.1.4. Экономический ущерб от травматизма и аварий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Экономические потери от инцидентов складываются из нескольких составляющих. К прямым относят расходы на медицинскую помощь и реабилитацию, страховые выплаты, стоимость повреждённого оборудования, сырья и продукции, а также затраты на восстановление. Косвенные потери включают оплату вынужденного простоя, подбор и адаптацию новых работников, внеплановые проверки и штрафы. Упущенная выгода связана с остановкой линий, срывом поставок и репутационными рисками. Для органического цеха длительный простой особенно чувствителен из-за высокой стоимости простоя и сложности повторного запуска.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 Характеристика производственных цехов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2.2.1. Структура цехов и движение сырья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Технологический поток начинается с приёмки и хранения сырья (мешки, контейнеры, насосная закачка в ёмкости). Далее компоненты подготавливают — очищают, взвешивают и дозируют. В смесительном отделении по рецептуре выполняют диспергирование и гомогенизацию. Имеются участки очистки/регенерации растворителей, контроля качества, фасовки и упаковки, а также вспомогательные помещения и инженерные системы (теплообменники, охлаждение/нагрев, очистка воды, трубопроводы).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цехе ВДК преобладают водные дисперсии полимеров, вода как дисперсионная среда, наполнители и пигменты (кальцит, тальк, диоксид титана), а также дозируемые кислоты и щелочи для корректировки pH. В органическом цехе обращаются ЛВЖ и ГЖ (ксилол, толуол, бутилацетат, уайт-спирит), смолы, пигменты и функциональные добавки; используются закрытые резервуары и мобильные дежи.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2.2.2. Исходное сырьё и выпускаемая продукция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рецептурах применяют плёнкообразователи (смолы, олифы, латексы, дисперсии), растворители и разбавители (органические растворители, вода), пигменты и наполнители, а также специальные добавки — пластификаторы, стабилизаторы, загустители, биоциды и компоненты для огнезащитных и гидроизоляционных составов.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Номенклатура продукции насчитывает порядка 250 наименований: средства защиты древесины, интерьерные и фасадные краски, эмали, лаки, грунтовки, декоративные покрытия, а также специализированные огнезащитные и гидроизоляционные материалы. Качество поддерживается за счёт автоматизации процессов и поэтапного контроля.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2.2.3. Требования безопасности при работе в цехах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Безопасность обеспечивается комплексом организационных и технических мер: регулярные инструктажи и проверка знаний; максимальная автоматизация процессов для снижения контакта персонала с опасными веществами; строгий порядок работы с ЛВЖ и ГЖ; наличие систем пожаротушения и оповещения; обязательное применение СИЗ. Для снижения воздействия на работников и окружающую среду используются конденсация паров растворителей и очистка сточных вод.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работе с кислотами и щелочами обязательны герметичные очки, химически стойкая спецодежда и перчатки; вблизи рабочих зон размещены аварийные фонтаны для промывки глаз. В органическом цехе электрооборудование выполняется во взрывозащищённом исполнении, вход организован через тамбур-шлюз с подпором воздуха, аппараты и трубопроводы заземляются, применяются антистатические решения.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Отдельное внимание уделяется загрузке сырья. Жидкости подаются по шлангам через краны; сухие компоненты загружаются через люки. После загрузки аппаратчик не переходит к следующей стадии без подтверждения технолога — такой порядок снижает риск ошибок, связанных с человеческим фактором.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2.3. Освидетельствование, приём и сдача оборудования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Техническое освидетельствование начинается с планирования: составляют перечень объектов и графики работ, формируют комиссию приказом. Комиссия изучает документацию, проводит осмотр, проверяет работоспособность и параметры; при необходимости привлекают экспертные организации. По итогам оформляют акт с выводом о возможности дальнейшей эксплуатации, необходимых мероприятиях и сроке следующего освидетельствования, после чего контролируют исполнение рекомендаций.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приёмке нового оборудования издают приказ о составе комиссии и задачах, готовят площадку, сверяют комплектность и характеристики с документами, фиксируют замечания. При необходимости проверяют готовность места установки, участвуют в наладке и опытной эксплуатации, оформляют акты и проводят инструктаж персонала, который будет работать на объекте.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Сдача оборудования оформляется после согласования с техническими службами, ОТ и ПБ. Комиссия оценивает состояние объекта и составляет акт сдачи-приёмки с перечнем замечаний; на его основании принимают решение о принятии к учёту, доработке, списании или передаче.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2.4. Государственный надзор и результаты проверок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Внешний контроль осуществляют Ростехнадзор (промышленная безопасность ёмкостного оборудования и опасных производственных объектов), Роструд (соблюдение трудового законодательства и охраны труда, медосмотры, СИЗ, инструктажи), органы государственного пожарного надзора (системы пожарной защиты, первичные средства, эвакуация) и Роспотребнадзор (санитарные условия, вентиляция, воздух рабочей зоны).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материалах практики приведены примеры замечаний по итогам проверки Центрального управления Ростехнадзора (в том числе 2019 г.): организационные нарушения (отсутствие отдельных назначений, документов, схем, перечней) и технические (нет инвентарного номера на переносном электронагревателе, не обозначены светильники аварийного освещения, отсутствуют стрелки направления вращения на электродвигателях). Такие замечания подлежат устранению в установленные сроки. Внутренний общественный контроль поддерживают уполномоченные по охране труда и профсоюзные представители.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2.5. Результаты СОУТ и мероприятия по улучшению условий труда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Специальная оценка условий труда проводится в соответствии с Федеральным законом № 426-ФЗ не реже одного раза в пять лет, а также внепланово при изменении условий. На рабочих местах лакокрасочного производства идентифицируются химический фактор (пары растворителей и других веществ), аэрозоли преимущественно фиброгенного действия (пыль при растаривании и загрузке), шум, вибрация, параметры микроклимата, освещённость, электромагнитные поля и статическое электричество, а также показатели тяжести и напряжённости труда.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результатам СОУТ большинство рабочих мест отнесено ко 2-му классу (допустимые условия). Участки с более интенсивным контактом с химическими веществами и работой на технологическом оборудовании могут относиться к 3-му классу (вредные условия) с соответствующими гарантиями и компенсациями. Благодаря вентиляции, автоматизации и средствам контроля класс условий труда на предприятии удерживается в допустимых пределах на значительной части мест.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План улучшения условий труда включает управленческие меры (актуализация регламентов, информирование персонала, медосмотры по Приказу Минздрава № 29н), технические решения (модернизация оборудования, автоматика, очистные сооружения), контроль СИЗ и развитие санитарно-бытовой инфраструктуры. Исполнение контролируют служба охраны труда, руководители подразделений и надзорные органы при проверках.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Среди инженерных средств защиты отмечу приточно-вытяжную вентиляцию (приток — через венткамеру с фильтрами и подогревом; вытяжка — с кровли), пожарные клапаны в воздуховодах, водно-пенную спринклерную систему (срабатывание колб около 68 °C, поддержание давления насосом «джакей»), зенитные фонари для дымоудаления, СОУЭ, а также первичные средства пожаротушения. Персонал обеспечивается очками, респираторами, антистатической спецодеждой и химзащитой при работе с агрессивными средами.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2.6. Экономические показатели предприятия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данным за 2025 год предприятие демонстрирует рост ключевых показателей: выручка — около 6,3 млрд руб., чистая прибыль — около 569,5 млн руб. В отчётном периоде, по доступным сведениям практики, предприятие не фигурировало в сводках происшествий, связанных с тяжёлым производственным травматизмом, что косвенно свидетельствует об эффективности профилактической работы службы охраны труда и инженерных систем безопасности. Вместе с тем потенциальный экономический ущерб от аварии или пожара на объекте с ЛВЖ остаётся высоким, поэтому приоритетом остаётся предупреждение инцидентов.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производственной практики на ООО «НПП Рогнеда» мной выполнены поставленные задачи. Я ознакомилась со структурой предприятия и организацией работы специалистов по охране труда и промышленной безопасности, изучила систему инструктажей, порядок работ повышенной опасности, подходы к освидетельствованию оборудования, а также результаты СОУТ и комплекс мер коллективной и индивидуальной защиты.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Можно сделать вывод, что производство лакокрасочных материалов связано с существенными пожаровзрывоопасными и химическими рисками, однако на предприятии выстроена система управления этими рисками: от организационных процедур и обучения персонала до инженерных систем вентиляции, взрывозащиты, пожаротушения и контроля воздушной среды. Полученный опыт полезен для дальнейшего обучения по направлению «Техносферная безопасность» и понимания практической роли инженера по охране труда на химическом производстве.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Список используемой литературы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1. Трудовой кодекс Российской Федерации от 30.12.2001 № 197-ФЗ (глава 10 «Охрана труда»).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2. Федеральный закон от 28.12.2013 № 426-ФЗ «О специальной оценке условий труда».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3. Федеральный закон от 21.07.1997 № 116-ФЗ «О промышленной безопасности опасных производственных объектов».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4. Приказ Минздрава России от 28.01.2021 № 29н «Об утверждении Порядка проведения обязательных предварительных и периодических медицинских осмотров работников».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5. Приказ Минтруда России от 29.10.2021 № 774н «Об утверждении Общих требований к организации безопасного рабочего места».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6. ГОСТ 12.1.005-88 «ССБТ. Общие санитарно-гигиенические требования к воздуху рабочей зоны».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7. ГОСТ 12.4.011-89 «ССБТ. Средства защиты работающих. Общие требования и классификация».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8. СП 60.13330.2020 «Отопление, вентиляция и кондиционирование воздуха».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9. О компании // Рогнеда. — URL: https://www.rogneda.ru/company/ (дата обращения: 15.07.2026).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10. ООО «НПП Рогнеда» // Companium.ru. — URL: https://companium.ru/id/1147746529920-npp-rogneda (дата обращения: 15.07.2026).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11. Технологический регламент производства лакокрасочных материалов ООО «НПП РОГНЕДА» (материалы предприятия).</w:t>
      </w:r>
    </w:p>
    <w:p>
      <w:pPr>
        <w:pStyle w:val="a7"/>
        <w:spacing w:after="40" w:line="276" w:lineRule="auto"/>
        <w:jc w:val="both"/>
      </w:pPr>
      <w:r>
        <w:rPr>
          <w:rFonts w:ascii="Times New Roman" w:hAnsi="Times New Roman" w:eastAsia="Times New Roman"/>
          <w:sz w:val="28"/>
        </w:rPr>
        <w:t>12. Материалы производственной практики на ООО «НПП Рогнеда», 2026 г.</w:t>
      </w:r>
    </w:p>
    <w:sectPr w:rsidR="006F311E" w:rsidRPr="00467892" w:rsidSect="007E1D94">
      <w:footerReference w:type="default" r:id="rId23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  <w:tbl>
      <w:tblPr>
        <w:tblStyle w:val="af5"/>
        <w:tblW w:w="9634" w:type="dxa"/>
        <w:tblLayout w:type="fixed"/>
        <w:tblLook w:val="04A0" w:firstRow="1" w:lastRow="0" w:firstColumn="1" w:lastColumn="0" w:noHBand="0" w:noVBand="1"/>
      </w:tblPr>
      <w:tblGrid>
        <w:gridCol w:w="594"/>
        <w:gridCol w:w="7481"/>
        <w:gridCol w:w="1559"/>
      </w:tblGrid>
      <w:tr w:rsidR="00015813" w14:paraId="10361F2F" w14:textId="77777777" w:rsidTr="00CB0E8C">
        <w:tc>
          <w:tcPr>
            <w:tcW w:w="594" w:type="dxa"/>
          </w:tcPr>
          <w:p w14:paraId="7518242E" w14:textId="1B0F57C5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№ п/п</w:t>
            </w:r>
          </w:p>
        </w:tc>
        <w:tc>
          <w:tcPr>
            <w:tcW w:w="7481" w:type="dxa"/>
          </w:tcPr>
          <w:p w14:paraId="3A30F9E3" w14:textId="1F160052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Содержание практики</w:t>
            </w:r>
          </w:p>
        </w:tc>
        <w:tc>
          <w:tcPr>
            <w:tcW w:w="1559" w:type="dxa"/>
          </w:tcPr>
          <w:p w14:paraId="03EF5901" w14:textId="340D2A77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Количество часов</w:t>
            </w:r>
          </w:p>
        </w:tc>
      </w:tr>
      <w:tr w:rsidR="00015813" w14:paraId="2E79391B" w14:textId="77777777" w:rsidTr="00CB0E8C">
        <w:tc>
          <w:tcPr>
            <w:tcW w:w="594" w:type="dxa"/>
          </w:tcPr>
          <w:p w14:paraId="0756FACF" w14:textId="2A170CDA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7481" w:type="dxa"/>
          </w:tcPr>
          <w:p w14:paraId="2EE09B89" w14:textId="6EBD6FF9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Знакомство с программой практики, вводный инструктаж по ТБ, общее представление о предприятии</w:t>
            </w:r>
          </w:p>
        </w:tc>
        <w:tc>
          <w:tcPr>
            <w:tcW w:w="1559" w:type="dxa"/>
          </w:tcPr>
          <w:p w14:paraId="79BBA36B" w14:textId="12F3BC75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1 час</w:t>
            </w:r>
          </w:p>
        </w:tc>
      </w:tr>
      <w:tr w:rsidR="00015813" w14:paraId="4C29661D" w14:textId="77777777" w:rsidTr="00CB0E8C">
        <w:tc>
          <w:tcPr>
            <w:tcW w:w="594" w:type="dxa"/>
          </w:tcPr>
          <w:p w14:paraId="7B9096BF" w14:textId="5154D079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7481" w:type="dxa"/>
          </w:tcPr>
          <w:p w14:paraId="74F42AB3" w14:textId="41E45878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Изучение государственного надзора и контроля в области ОТ и ПБ, а также общественного контроля</w:t>
            </w:r>
          </w:p>
        </w:tc>
        <w:tc>
          <w:tcPr>
            <w:tcW w:w="1559" w:type="dxa"/>
          </w:tcPr>
          <w:p w14:paraId="5617050B" w14:textId="7022DDC4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1 час</w:t>
            </w:r>
          </w:p>
        </w:tc>
      </w:tr>
      <w:tr w:rsidR="00015813" w14:paraId="5DC73426" w14:textId="77777777" w:rsidTr="00CB0E8C">
        <w:tc>
          <w:tcPr>
            <w:tcW w:w="594" w:type="dxa"/>
          </w:tcPr>
          <w:p w14:paraId="6B3F4EAF" w14:textId="3DCEA486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7481" w:type="dxa"/>
          </w:tcPr>
          <w:p w14:paraId="76BA7BD8" w14:textId="2E21B734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Обход водопримессионного (ВДК) и органического цехов</w:t>
            </w:r>
            <w:r w:rsidR="007217DA" w:rsidRPr="00500630">
              <w:rPr>
                <w:rFonts w:ascii="Times New Roman" w:hAnsi="Times New Roman" w:cs="Times New Roman"/>
                <w:sz w:val="28"/>
              </w:rPr>
            </w:r>
            <w:r w:rsidR="00CB0E8C">
              <w:rPr>
                <w:rFonts w:ascii="Times New Roman" w:hAnsi="Times New Roman" w:cs="Times New Roman"/>
                <w:sz w:val="28"/>
              </w:rPr>
            </w:r>
            <w:r w:rsidR="007217DA" w:rsidRPr="00500630">
              <w:rPr>
                <w:rFonts w:ascii="Times New Roman" w:hAnsi="Times New Roman" w:cs="Times New Roman"/>
                <w:sz w:val="28"/>
              </w:rPr>
            </w:r>
            <w:r w:rsidR="00CB0E8C" w:rsidRPr="00500630">
              <w:rPr>
                <w:rFonts w:ascii="Times New Roman" w:hAnsi="Times New Roman" w:cs="Times New Roman"/>
                <w:sz w:val="28"/>
              </w:rPr>
            </w:r>
          </w:p>
        </w:tc>
        <w:tc>
          <w:tcPr>
            <w:tcW w:w="1559" w:type="dxa"/>
          </w:tcPr>
          <w:p w14:paraId="6B2DF970" w14:textId="01FD4915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2 часа</w:t>
            </w:r>
          </w:p>
        </w:tc>
      </w:tr>
      <w:tr w:rsidR="00015813" w14:paraId="0E038413" w14:textId="77777777" w:rsidTr="00CB0E8C">
        <w:tc>
          <w:tcPr>
            <w:tcW w:w="594" w:type="dxa"/>
          </w:tcPr>
          <w:p w14:paraId="3E287663" w14:textId="4A2E6BF7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7481" w:type="dxa"/>
          </w:tcPr>
          <w:p w14:paraId="315292FA" w14:textId="525E7351" w:rsidR="00015813" w:rsidRPr="00500630" w:rsidRDefault="00CB0E8C" w:rsidP="00CB0E8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Посещение лаборатории, склада сырья и склада готовой продукции</w:t>
            </w:r>
            <w:r>
              <w:rPr>
                <w:rFonts w:ascii="Times New Roman" w:hAnsi="Times New Roman" w:cs="Times New Roman"/>
                <w:sz w:val="28"/>
              </w:rPr>
            </w:r>
            <w:r w:rsidRPr="00500630">
              <w:rPr>
                <w:rFonts w:ascii="Times New Roman" w:hAnsi="Times New Roman" w:cs="Times New Roman"/>
                <w:sz w:val="28"/>
              </w:rPr>
            </w:r>
          </w:p>
        </w:tc>
        <w:tc>
          <w:tcPr>
            <w:tcW w:w="1559" w:type="dxa"/>
          </w:tcPr>
          <w:p w14:paraId="47DD4096" w14:textId="091C5319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1 час</w:t>
            </w:r>
          </w:p>
        </w:tc>
      </w:tr>
      <w:tr w:rsidR="00015813" w14:paraId="10B80C06" w14:textId="77777777" w:rsidTr="00CB0E8C">
        <w:tc>
          <w:tcPr>
            <w:tcW w:w="594" w:type="dxa"/>
          </w:tcPr>
          <w:p w14:paraId="37EE8E9E" w14:textId="3B092404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7481" w:type="dxa"/>
          </w:tcPr>
          <w:p w14:paraId="55E20256" w14:textId="5B75D557" w:rsidR="00015813" w:rsidRPr="00500630" w:rsidRDefault="00CB0E8C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Изучение СУОТ и системы промышленной безопасности</w:t>
            </w:r>
          </w:p>
        </w:tc>
        <w:tc>
          <w:tcPr>
            <w:tcW w:w="1559" w:type="dxa"/>
          </w:tcPr>
          <w:p w14:paraId="5A808D42" w14:textId="05FA85F1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30 мин</w:t>
            </w:r>
          </w:p>
        </w:tc>
      </w:tr>
      <w:tr w:rsidR="00015813" w14:paraId="7940FBC0" w14:textId="77777777" w:rsidTr="00CB0E8C">
        <w:tc>
          <w:tcPr>
            <w:tcW w:w="594" w:type="dxa"/>
          </w:tcPr>
          <w:p w14:paraId="7FB1FCFF" w14:textId="68B77010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7481" w:type="dxa"/>
          </w:tcPr>
          <w:p w14:paraId="6A43B307" w14:textId="7971210A" w:rsidR="00015813" w:rsidRPr="00500630" w:rsidRDefault="00CB0E8C" w:rsidP="00210C06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CB0E8C">
              <w:rPr>
                <w:rFonts w:ascii="Times New Roman" w:hAnsi="Times New Roman" w:cs="Times New Roman"/>
                <w:sz w:val="28"/>
              </w:rPr>
              <w:t>Ознакомление с порядком освидетельствования, приёма и сдачи оборудования</w:t>
            </w:r>
          </w:p>
        </w:tc>
        <w:tc>
          <w:tcPr>
            <w:tcW w:w="1559" w:type="dxa"/>
          </w:tcPr>
          <w:p w14:paraId="4237FF11" w14:textId="6057A7A0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30 мин</w:t>
            </w:r>
          </w:p>
        </w:tc>
      </w:tr>
      <w:tr w:rsidR="00015813" w14:paraId="249EC88B" w14:textId="77777777" w:rsidTr="00CB0E8C">
        <w:tc>
          <w:tcPr>
            <w:tcW w:w="594" w:type="dxa"/>
          </w:tcPr>
          <w:p w14:paraId="4D06E704" w14:textId="60530202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7481" w:type="dxa"/>
          </w:tcPr>
          <w:p w14:paraId="1CD95E72" w14:textId="5EAE4AB9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Изучение причин травматизма, аварий и пожаров на основании актов расследований, технических методов и средств защиты персонала от опасных и вредных факторов</w:t>
            </w:r>
          </w:p>
        </w:tc>
        <w:tc>
          <w:tcPr>
            <w:tcW w:w="1559" w:type="dxa"/>
          </w:tcPr>
          <w:p w14:paraId="5A08F4A8" w14:textId="1DC67D3E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30 мин</w:t>
            </w:r>
          </w:p>
        </w:tc>
      </w:tr>
      <w:tr w:rsidR="00015813" w14:paraId="4E776BE0" w14:textId="77777777" w:rsidTr="00CB0E8C">
        <w:tc>
          <w:tcPr>
            <w:tcW w:w="594" w:type="dxa"/>
          </w:tcPr>
          <w:p w14:paraId="6ACA042E" w14:textId="1F819E48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8</w:t>
            </w:r>
          </w:p>
        </w:tc>
        <w:tc>
          <w:tcPr>
            <w:tcW w:w="7481" w:type="dxa"/>
          </w:tcPr>
          <w:p w14:paraId="630F5278" w14:textId="454D1FB2" w:rsidR="00015813" w:rsidRPr="00500630" w:rsidRDefault="00CB0E8C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CB0E8C">
              <w:rPr>
                <w:rFonts w:ascii="Times New Roman" w:hAnsi="Times New Roman" w:cs="Times New Roman"/>
                <w:sz w:val="28"/>
              </w:rPr>
              <w:t>Ознакомление с результатами СОУТ и планом улучшения условий труда</w:t>
            </w:r>
          </w:p>
        </w:tc>
        <w:tc>
          <w:tcPr>
            <w:tcW w:w="1559" w:type="dxa"/>
          </w:tcPr>
          <w:p w14:paraId="5DDBA5E0" w14:textId="62BF7E60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30 мин</w:t>
            </w:r>
          </w:p>
        </w:tc>
      </w:tr>
      <w:tr w:rsidR="00015813" w14:paraId="54C8340C" w14:textId="77777777" w:rsidTr="00CB0E8C">
        <w:tc>
          <w:tcPr>
            <w:tcW w:w="594" w:type="dxa"/>
          </w:tcPr>
          <w:p w14:paraId="69908CCB" w14:textId="33967819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7481" w:type="dxa"/>
          </w:tcPr>
          <w:p w14:paraId="6976373D" w14:textId="04F723EC" w:rsidR="00015813" w:rsidRPr="00500630" w:rsidRDefault="00B73F4B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ИТОГ</w:t>
            </w:r>
          </w:p>
        </w:tc>
        <w:tc>
          <w:tcPr>
            <w:tcW w:w="1559" w:type="dxa"/>
          </w:tcPr>
          <w:p w14:paraId="773203C9" w14:textId="4809F04C" w:rsidR="00015813" w:rsidRPr="00500630" w:rsidRDefault="00B73F4B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7 часов</w:t>
            </w:r>
          </w:p>
        </w:tc>
      </w:tr>
    </w:tbl>
    <w:tbl>
      <w:tblPr>
        <w:tblStyle w:val="af5"/>
        <w:tblW w:w="992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426"/>
        <w:gridCol w:w="1843"/>
        <w:gridCol w:w="3913"/>
        <w:gridCol w:w="3742"/>
      </w:tblGrid>
      <w:tr w:rsidR="00A96C30" w14:paraId="63395272" w14:textId="77777777" w:rsidTr="00A96C30">
        <w:tc>
          <w:tcPr>
            <w:tcW w:w="426" w:type="dxa"/>
          </w:tcPr>
          <w:p w14:paraId="5F7CF2AD" w14:textId="4F162655" w:rsidR="00A96C30" w:rsidRPr="00A96C30" w:rsidRDefault="00A96C30" w:rsidP="005F3C9C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№</w:t>
            </w:r>
          </w:p>
        </w:tc>
        <w:tc>
          <w:tcPr>
            <w:tcW w:w="1843" w:type="dxa"/>
          </w:tcPr>
          <w:p w14:paraId="5776AE4A" w14:textId="4043BD6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Вид инструктажа</w:t>
            </w:r>
          </w:p>
        </w:tc>
        <w:tc>
          <w:tcPr>
            <w:tcW w:w="3913" w:type="dxa"/>
          </w:tcPr>
          <w:p w14:paraId="7F0925BF" w14:textId="10F4A5A6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Цель проведения</w:t>
            </w:r>
          </w:p>
        </w:tc>
        <w:tc>
          <w:tcPr>
            <w:tcW w:w="3742" w:type="dxa"/>
          </w:tcPr>
          <w:p w14:paraId="1CF9FA90" w14:textId="3FA46D3C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Сроки проведения</w:t>
            </w:r>
          </w:p>
        </w:tc>
      </w:tr>
      <w:tr w:rsidR="00A96C30" w14:paraId="032D5FC1" w14:textId="77777777" w:rsidTr="00A96C30">
        <w:tc>
          <w:tcPr>
            <w:tcW w:w="426" w:type="dxa"/>
          </w:tcPr>
          <w:p w14:paraId="291CD4D4" w14:textId="1A74164C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43" w:type="dxa"/>
          </w:tcPr>
          <w:p w14:paraId="521D94B1" w14:textId="6CE2BB53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Вводный </w:t>
            </w:r>
          </w:p>
        </w:tc>
        <w:tc>
          <w:tcPr>
            <w:tcW w:w="3913" w:type="dxa"/>
          </w:tcPr>
          <w:p w14:paraId="53DE35AC" w14:textId="5499D224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Ознакомление с общими правилами охраны труда, внутренним трудовым распорядком, основными опасностями на предприятии, правилами поведения на территории и в производственных помещениях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0EBDEC7E" w14:textId="2C1F9A14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до заключения трудового договора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 со всеми вновь принимаемыми на работу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  <w:tr w:rsidR="00A96C30" w14:paraId="7250BFF3" w14:textId="77777777" w:rsidTr="00A96C30">
        <w:tc>
          <w:tcPr>
            <w:tcW w:w="426" w:type="dxa"/>
          </w:tcPr>
          <w:p w14:paraId="7EBF286E" w14:textId="72881814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3" w:type="dxa"/>
          </w:tcPr>
          <w:p w14:paraId="067F0272" w14:textId="51393DA3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Первичный </w:t>
            </w:r>
          </w:p>
        </w:tc>
        <w:tc>
          <w:tcPr>
            <w:tcW w:w="3913" w:type="dxa"/>
          </w:tcPr>
          <w:p w14:paraId="518D8AFB" w14:textId="3B0547A1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Ознакомление с конкретными опасными и вредными производственными факторами на рабочем месте, безопасными приемами и методами работы, инструкциями по охране труда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3E19A889" w14:textId="5366B36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до начала самостоятельной работы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 с работниками, принятыми на работу, переведенными из одного подразделения в другое, а также с работниками, выполняющими новую для них работу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  <w:tr w:rsidR="00A96C30" w14:paraId="3C15B8B8" w14:textId="77777777" w:rsidTr="00A96C30">
        <w:tc>
          <w:tcPr>
            <w:tcW w:w="426" w:type="dxa"/>
          </w:tcPr>
          <w:p w14:paraId="1EE0C2B1" w14:textId="6A10B97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43" w:type="dxa"/>
          </w:tcPr>
          <w:p w14:paraId="2F99CC0E" w14:textId="1BFE7201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Повторный </w:t>
            </w:r>
          </w:p>
        </w:tc>
        <w:tc>
          <w:tcPr>
            <w:tcW w:w="3913" w:type="dxa"/>
          </w:tcPr>
          <w:p w14:paraId="3A360110" w14:textId="01F1F9B5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Закрепление и обновление знаний по безопасным методам и приемам работы, профилактика производственного травматизма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44D3A3B2" w14:textId="25FE4559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не реже одного раза в 6 месяцев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 для всех работников, прошедших первичный инструктаж. Для работ на особо опасных и вредных работах –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не реже 1 раза в 3 месяца</w:t>
            </w:r>
            <w:r w:rsidR="005C4D34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  <w:tr w:rsidR="00A96C30" w14:paraId="647B7264" w14:textId="77777777" w:rsidTr="00A96C30">
        <w:tc>
          <w:tcPr>
            <w:tcW w:w="426" w:type="dxa"/>
          </w:tcPr>
          <w:p w14:paraId="285C35EC" w14:textId="1EA8E4E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43" w:type="dxa"/>
          </w:tcPr>
          <w:p w14:paraId="748D78B8" w14:textId="0B685766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Внеплановый </w:t>
            </w:r>
          </w:p>
        </w:tc>
        <w:tc>
          <w:tcPr>
            <w:tcW w:w="3913" w:type="dxa"/>
          </w:tcPr>
          <w:p w14:paraId="725D30D0" w14:textId="26B73EA0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Актуализация знаний в связи с изменением технологического процесса, заменой оборудования, нарушением требований безопасности, 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перерывами в работе, поступлением новых нормативных документов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7C269312" w14:textId="7779B783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внепланово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 при: введении новых или изменении законодательных актов; изменении технологического процесса; 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замене оборудования; по требованию надзорных органов.</w:t>
            </w:r>
          </w:p>
        </w:tc>
      </w:tr>
      <w:tr w:rsidR="00A96C30" w14:paraId="03F50A47" w14:textId="77777777" w:rsidTr="00A96C30">
        <w:tc>
          <w:tcPr>
            <w:tcW w:w="426" w:type="dxa"/>
          </w:tcPr>
          <w:p w14:paraId="6EE058BE" w14:textId="50631CE2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1843" w:type="dxa"/>
          </w:tcPr>
          <w:p w14:paraId="2FB958E0" w14:textId="3CED9F06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Целевой </w:t>
            </w:r>
          </w:p>
        </w:tc>
        <w:tc>
          <w:tcPr>
            <w:tcW w:w="3913" w:type="dxa"/>
          </w:tcPr>
          <w:p w14:paraId="749359EC" w14:textId="5EEA4B0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Обеспечение безопасного выполнения разовых работ, не связанных с прямыми обязанностями работника (ликвидация аварий, выполнение работ по наряду-допуску и т.д.)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53ED96B0" w14:textId="5D4E2423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непосредственно перед выполнением 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конкретных разовых работ, работ по наряду-допуску, при ликвидации последствий аварий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AC4388" w14:textId="77777777" w:rsidR="00AD4924" w:rsidRDefault="00AD4924" w:rsidP="00EC1EE7">
      <w:pPr>
        <w:spacing w:after="0" w:line="240" w:lineRule="auto"/>
      </w:pPr>
      <w:r>
        <w:separator/>
      </w:r>
    </w:p>
  </w:endnote>
  <w:endnote w:type="continuationSeparator" w:id="0">
    <w:p w14:paraId="2323FDC3" w14:textId="77777777" w:rsidR="00AD4924" w:rsidRDefault="00AD4924" w:rsidP="00EC1E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52616164"/>
      <w:docPartObj>
        <w:docPartGallery w:val="Page Numbers (Bottom of Page)"/>
        <w:docPartUnique/>
      </w:docPartObj>
    </w:sdtPr>
    <w:sdtEndPr/>
    <w:sdtContent>
      <w:p w14:paraId="270B44E1" w14:textId="6D9DF75F" w:rsidR="00D47F47" w:rsidRDefault="00D47F4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71A0">
          <w:rPr>
            <w:noProof/>
          </w:rPr>
          <w:t>6</w:t>
        </w:r>
        <w:r>
          <w:fldChar w:fldCharType="end"/>
        </w:r>
      </w:p>
    </w:sdtContent>
  </w:sdt>
  <w:p w14:paraId="3FEFC78F" w14:textId="77777777" w:rsidR="00D47F47" w:rsidRDefault="00D47F47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0E69804" w14:textId="77777777" w:rsidR="00AD4924" w:rsidRDefault="00AD4924" w:rsidP="00EC1EE7">
      <w:pPr>
        <w:spacing w:after="0" w:line="240" w:lineRule="auto"/>
      </w:pPr>
      <w:r>
        <w:separator/>
      </w:r>
    </w:p>
  </w:footnote>
  <w:footnote w:type="continuationSeparator" w:id="0">
    <w:p w14:paraId="07F65D92" w14:textId="77777777" w:rsidR="00AD4924" w:rsidRDefault="00AD4924" w:rsidP="00EC1E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5E1B53"/>
    <w:multiLevelType w:val="hybridMultilevel"/>
    <w:tmpl w:val="A058DA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76041"/>
    <w:multiLevelType w:val="multilevel"/>
    <w:tmpl w:val="DA28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D26BC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E1257"/>
    <w:multiLevelType w:val="hybridMultilevel"/>
    <w:tmpl w:val="72CA0EA6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94011C"/>
    <w:multiLevelType w:val="multilevel"/>
    <w:tmpl w:val="F74005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>
      <w:start w:val="2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80" w:hanging="2160"/>
      </w:pPr>
      <w:rPr>
        <w:rFonts w:hint="default"/>
      </w:rPr>
    </w:lvl>
  </w:abstractNum>
  <w:abstractNum w:abstractNumId="5" w15:restartNumberingAfterBreak="0">
    <w:nsid w:val="1F512B13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27B31"/>
    <w:multiLevelType w:val="multilevel"/>
    <w:tmpl w:val="B5D0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E2DF7"/>
    <w:multiLevelType w:val="multilevel"/>
    <w:tmpl w:val="4A80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7273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1497078"/>
    <w:multiLevelType w:val="hybridMultilevel"/>
    <w:tmpl w:val="3AB8F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876B7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F92923"/>
    <w:multiLevelType w:val="hybridMultilevel"/>
    <w:tmpl w:val="D938E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CE1614"/>
    <w:multiLevelType w:val="multilevel"/>
    <w:tmpl w:val="E6C4A684"/>
    <w:styleLink w:val="1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E725DA7"/>
    <w:multiLevelType w:val="multilevel"/>
    <w:tmpl w:val="2D6C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9736A4"/>
    <w:multiLevelType w:val="multilevel"/>
    <w:tmpl w:val="D344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742919"/>
    <w:multiLevelType w:val="multilevel"/>
    <w:tmpl w:val="C324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8B6693"/>
    <w:multiLevelType w:val="hybridMultilevel"/>
    <w:tmpl w:val="9E94276E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A37386"/>
    <w:multiLevelType w:val="multilevel"/>
    <w:tmpl w:val="75A2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8C4985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AE3D90"/>
    <w:multiLevelType w:val="multilevel"/>
    <w:tmpl w:val="F880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66E4F"/>
    <w:multiLevelType w:val="multilevel"/>
    <w:tmpl w:val="D7B610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1" w15:restartNumberingAfterBreak="0">
    <w:nsid w:val="553C1BC6"/>
    <w:multiLevelType w:val="multilevel"/>
    <w:tmpl w:val="61CC5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0A057C"/>
    <w:multiLevelType w:val="multilevel"/>
    <w:tmpl w:val="31FC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F55436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B127EA"/>
    <w:multiLevelType w:val="hybridMultilevel"/>
    <w:tmpl w:val="AE081C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175134A"/>
    <w:multiLevelType w:val="hybridMultilevel"/>
    <w:tmpl w:val="83A26438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3B304D"/>
    <w:multiLevelType w:val="multilevel"/>
    <w:tmpl w:val="8DF4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C4573D"/>
    <w:multiLevelType w:val="multilevel"/>
    <w:tmpl w:val="1740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450B46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F3952"/>
    <w:multiLevelType w:val="hybridMultilevel"/>
    <w:tmpl w:val="9F9A8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943612"/>
    <w:multiLevelType w:val="hybridMultilevel"/>
    <w:tmpl w:val="FD38E596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313E26"/>
    <w:multiLevelType w:val="hybridMultilevel"/>
    <w:tmpl w:val="E8E2A304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5649D6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2B1B64"/>
    <w:multiLevelType w:val="hybridMultilevel"/>
    <w:tmpl w:val="EB48AEAE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6F777FEF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CF2257"/>
    <w:multiLevelType w:val="multilevel"/>
    <w:tmpl w:val="1C30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DE44C7"/>
    <w:multiLevelType w:val="multilevel"/>
    <w:tmpl w:val="AE50B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ED000B"/>
    <w:multiLevelType w:val="multilevel"/>
    <w:tmpl w:val="966C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1171EC"/>
    <w:multiLevelType w:val="multilevel"/>
    <w:tmpl w:val="69B4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0"/>
  </w:num>
  <w:num w:numId="3">
    <w:abstractNumId w:val="4"/>
  </w:num>
  <w:num w:numId="4">
    <w:abstractNumId w:val="30"/>
  </w:num>
  <w:num w:numId="5">
    <w:abstractNumId w:val="8"/>
  </w:num>
  <w:num w:numId="6">
    <w:abstractNumId w:val="25"/>
  </w:num>
  <w:num w:numId="7">
    <w:abstractNumId w:val="31"/>
  </w:num>
  <w:num w:numId="8">
    <w:abstractNumId w:val="11"/>
  </w:num>
  <w:num w:numId="9">
    <w:abstractNumId w:val="29"/>
  </w:num>
  <w:num w:numId="10">
    <w:abstractNumId w:val="0"/>
  </w:num>
  <w:num w:numId="11">
    <w:abstractNumId w:val="9"/>
  </w:num>
  <w:num w:numId="12">
    <w:abstractNumId w:val="33"/>
  </w:num>
  <w:num w:numId="13">
    <w:abstractNumId w:val="32"/>
  </w:num>
  <w:num w:numId="14">
    <w:abstractNumId w:val="17"/>
  </w:num>
  <w:num w:numId="15">
    <w:abstractNumId w:val="1"/>
  </w:num>
  <w:num w:numId="16">
    <w:abstractNumId w:val="24"/>
  </w:num>
  <w:num w:numId="17">
    <w:abstractNumId w:val="10"/>
  </w:num>
  <w:num w:numId="18">
    <w:abstractNumId w:val="23"/>
  </w:num>
  <w:num w:numId="19">
    <w:abstractNumId w:val="28"/>
  </w:num>
  <w:num w:numId="20">
    <w:abstractNumId w:val="5"/>
  </w:num>
  <w:num w:numId="21">
    <w:abstractNumId w:val="2"/>
  </w:num>
  <w:num w:numId="22">
    <w:abstractNumId w:val="18"/>
  </w:num>
  <w:num w:numId="23">
    <w:abstractNumId w:val="34"/>
  </w:num>
  <w:num w:numId="24">
    <w:abstractNumId w:val="35"/>
  </w:num>
  <w:num w:numId="25">
    <w:abstractNumId w:val="21"/>
  </w:num>
  <w:num w:numId="26">
    <w:abstractNumId w:val="7"/>
  </w:num>
  <w:num w:numId="27">
    <w:abstractNumId w:val="6"/>
  </w:num>
  <w:num w:numId="28">
    <w:abstractNumId w:val="13"/>
  </w:num>
  <w:num w:numId="29">
    <w:abstractNumId w:val="26"/>
  </w:num>
  <w:num w:numId="30">
    <w:abstractNumId w:val="22"/>
  </w:num>
  <w:num w:numId="31">
    <w:abstractNumId w:val="15"/>
  </w:num>
  <w:num w:numId="32">
    <w:abstractNumId w:val="19"/>
  </w:num>
  <w:num w:numId="33">
    <w:abstractNumId w:val="27"/>
  </w:num>
  <w:num w:numId="34">
    <w:abstractNumId w:val="38"/>
  </w:num>
  <w:num w:numId="35">
    <w:abstractNumId w:val="14"/>
  </w:num>
  <w:num w:numId="36">
    <w:abstractNumId w:val="36"/>
  </w:num>
  <w:num w:numId="37">
    <w:abstractNumId w:val="37"/>
  </w:num>
  <w:num w:numId="38">
    <w:abstractNumId w:val="3"/>
  </w:num>
  <w:num w:numId="39">
    <w:abstractNumId w:val="1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017F"/>
    <w:rsid w:val="00010846"/>
    <w:rsid w:val="00015813"/>
    <w:rsid w:val="0001680A"/>
    <w:rsid w:val="00024A12"/>
    <w:rsid w:val="00025D55"/>
    <w:rsid w:val="000308ED"/>
    <w:rsid w:val="00040999"/>
    <w:rsid w:val="00045156"/>
    <w:rsid w:val="000467E9"/>
    <w:rsid w:val="00051BC5"/>
    <w:rsid w:val="00075F1A"/>
    <w:rsid w:val="00081E9D"/>
    <w:rsid w:val="00084E09"/>
    <w:rsid w:val="000925B0"/>
    <w:rsid w:val="00094DDD"/>
    <w:rsid w:val="000B6436"/>
    <w:rsid w:val="000C23D9"/>
    <w:rsid w:val="000C503B"/>
    <w:rsid w:val="000E1F4B"/>
    <w:rsid w:val="000E5738"/>
    <w:rsid w:val="000E7E97"/>
    <w:rsid w:val="000F13B4"/>
    <w:rsid w:val="00101F33"/>
    <w:rsid w:val="0010485A"/>
    <w:rsid w:val="001241CA"/>
    <w:rsid w:val="00131CC9"/>
    <w:rsid w:val="00133A5E"/>
    <w:rsid w:val="0013493E"/>
    <w:rsid w:val="00135F1E"/>
    <w:rsid w:val="00142EA1"/>
    <w:rsid w:val="00145997"/>
    <w:rsid w:val="00147E90"/>
    <w:rsid w:val="00160F9F"/>
    <w:rsid w:val="00161FE7"/>
    <w:rsid w:val="00174D94"/>
    <w:rsid w:val="00183F2A"/>
    <w:rsid w:val="001A069E"/>
    <w:rsid w:val="001A1359"/>
    <w:rsid w:val="001A602C"/>
    <w:rsid w:val="001B38F7"/>
    <w:rsid w:val="001B3FAE"/>
    <w:rsid w:val="001B67C3"/>
    <w:rsid w:val="001C1DA5"/>
    <w:rsid w:val="001D2486"/>
    <w:rsid w:val="001E3939"/>
    <w:rsid w:val="001E4C2D"/>
    <w:rsid w:val="002048B7"/>
    <w:rsid w:val="00210C06"/>
    <w:rsid w:val="00223703"/>
    <w:rsid w:val="00224695"/>
    <w:rsid w:val="00224A21"/>
    <w:rsid w:val="00230DC9"/>
    <w:rsid w:val="00230FF2"/>
    <w:rsid w:val="0024150A"/>
    <w:rsid w:val="00251999"/>
    <w:rsid w:val="0026275F"/>
    <w:rsid w:val="00265E33"/>
    <w:rsid w:val="002827DE"/>
    <w:rsid w:val="00287ADB"/>
    <w:rsid w:val="00296478"/>
    <w:rsid w:val="002A307B"/>
    <w:rsid w:val="002B0460"/>
    <w:rsid w:val="002B2F0C"/>
    <w:rsid w:val="002B4F6B"/>
    <w:rsid w:val="002C23DC"/>
    <w:rsid w:val="002D2612"/>
    <w:rsid w:val="002E3D3E"/>
    <w:rsid w:val="002E480A"/>
    <w:rsid w:val="002F0C90"/>
    <w:rsid w:val="002F1E6C"/>
    <w:rsid w:val="00303C95"/>
    <w:rsid w:val="00314C2C"/>
    <w:rsid w:val="00331D35"/>
    <w:rsid w:val="00341A07"/>
    <w:rsid w:val="0035450B"/>
    <w:rsid w:val="003626A3"/>
    <w:rsid w:val="00367D28"/>
    <w:rsid w:val="003715B2"/>
    <w:rsid w:val="00380DAC"/>
    <w:rsid w:val="0038502D"/>
    <w:rsid w:val="003853ED"/>
    <w:rsid w:val="003939F0"/>
    <w:rsid w:val="003A7C35"/>
    <w:rsid w:val="003B0D50"/>
    <w:rsid w:val="003F7E12"/>
    <w:rsid w:val="00413567"/>
    <w:rsid w:val="004142CC"/>
    <w:rsid w:val="00417309"/>
    <w:rsid w:val="0042780D"/>
    <w:rsid w:val="00443767"/>
    <w:rsid w:val="004579F2"/>
    <w:rsid w:val="004604A7"/>
    <w:rsid w:val="00467892"/>
    <w:rsid w:val="00483FD7"/>
    <w:rsid w:val="004861E4"/>
    <w:rsid w:val="00490E38"/>
    <w:rsid w:val="00495F38"/>
    <w:rsid w:val="0049774B"/>
    <w:rsid w:val="004A2664"/>
    <w:rsid w:val="004C7380"/>
    <w:rsid w:val="004D0004"/>
    <w:rsid w:val="004D1C18"/>
    <w:rsid w:val="004F3931"/>
    <w:rsid w:val="004F6776"/>
    <w:rsid w:val="00500630"/>
    <w:rsid w:val="005122CC"/>
    <w:rsid w:val="00514273"/>
    <w:rsid w:val="00534B01"/>
    <w:rsid w:val="00534E63"/>
    <w:rsid w:val="00551B90"/>
    <w:rsid w:val="0055669E"/>
    <w:rsid w:val="00560281"/>
    <w:rsid w:val="005614C1"/>
    <w:rsid w:val="00564DF6"/>
    <w:rsid w:val="00570056"/>
    <w:rsid w:val="0058780E"/>
    <w:rsid w:val="005A0E61"/>
    <w:rsid w:val="005A4187"/>
    <w:rsid w:val="005C4D34"/>
    <w:rsid w:val="005E4BC6"/>
    <w:rsid w:val="005E6957"/>
    <w:rsid w:val="005F23A8"/>
    <w:rsid w:val="005F3C9C"/>
    <w:rsid w:val="005F5DC2"/>
    <w:rsid w:val="00601C68"/>
    <w:rsid w:val="0060319D"/>
    <w:rsid w:val="00610312"/>
    <w:rsid w:val="00620A44"/>
    <w:rsid w:val="0062334B"/>
    <w:rsid w:val="00625BF0"/>
    <w:rsid w:val="006332B5"/>
    <w:rsid w:val="00641158"/>
    <w:rsid w:val="006430CB"/>
    <w:rsid w:val="00643626"/>
    <w:rsid w:val="00651987"/>
    <w:rsid w:val="00653240"/>
    <w:rsid w:val="006629C1"/>
    <w:rsid w:val="00663D8B"/>
    <w:rsid w:val="00667175"/>
    <w:rsid w:val="00673139"/>
    <w:rsid w:val="00675FBE"/>
    <w:rsid w:val="00681373"/>
    <w:rsid w:val="00684740"/>
    <w:rsid w:val="006910DC"/>
    <w:rsid w:val="006A1CF2"/>
    <w:rsid w:val="006B28B6"/>
    <w:rsid w:val="006B4099"/>
    <w:rsid w:val="006C746C"/>
    <w:rsid w:val="006C7CF4"/>
    <w:rsid w:val="006C7F71"/>
    <w:rsid w:val="006D069B"/>
    <w:rsid w:val="006D1B2E"/>
    <w:rsid w:val="006D7133"/>
    <w:rsid w:val="006F311E"/>
    <w:rsid w:val="00700A48"/>
    <w:rsid w:val="00711924"/>
    <w:rsid w:val="00717411"/>
    <w:rsid w:val="007217DA"/>
    <w:rsid w:val="00724B0B"/>
    <w:rsid w:val="00725A59"/>
    <w:rsid w:val="0073437C"/>
    <w:rsid w:val="0074277E"/>
    <w:rsid w:val="007471F4"/>
    <w:rsid w:val="0074729D"/>
    <w:rsid w:val="00754B8F"/>
    <w:rsid w:val="00755840"/>
    <w:rsid w:val="00764905"/>
    <w:rsid w:val="0077017F"/>
    <w:rsid w:val="007746E1"/>
    <w:rsid w:val="00782630"/>
    <w:rsid w:val="0078279B"/>
    <w:rsid w:val="00792B78"/>
    <w:rsid w:val="007A0C8A"/>
    <w:rsid w:val="007A23E4"/>
    <w:rsid w:val="007A35E8"/>
    <w:rsid w:val="007B09E2"/>
    <w:rsid w:val="007B1A35"/>
    <w:rsid w:val="007B234D"/>
    <w:rsid w:val="007B63FE"/>
    <w:rsid w:val="007C0C88"/>
    <w:rsid w:val="007C0E12"/>
    <w:rsid w:val="007C3879"/>
    <w:rsid w:val="007C48FD"/>
    <w:rsid w:val="007D28CC"/>
    <w:rsid w:val="007D5989"/>
    <w:rsid w:val="007E1D94"/>
    <w:rsid w:val="007E1E64"/>
    <w:rsid w:val="007E4894"/>
    <w:rsid w:val="007F0B25"/>
    <w:rsid w:val="008054DE"/>
    <w:rsid w:val="00813D09"/>
    <w:rsid w:val="0083022B"/>
    <w:rsid w:val="008306CD"/>
    <w:rsid w:val="00841D41"/>
    <w:rsid w:val="00844AE9"/>
    <w:rsid w:val="00851AC7"/>
    <w:rsid w:val="00852754"/>
    <w:rsid w:val="00862502"/>
    <w:rsid w:val="0089048E"/>
    <w:rsid w:val="008B71A0"/>
    <w:rsid w:val="008C1BB5"/>
    <w:rsid w:val="008D0FAB"/>
    <w:rsid w:val="008F0966"/>
    <w:rsid w:val="008F5D4E"/>
    <w:rsid w:val="008F7CA8"/>
    <w:rsid w:val="00906522"/>
    <w:rsid w:val="009159BC"/>
    <w:rsid w:val="00917A37"/>
    <w:rsid w:val="0093278E"/>
    <w:rsid w:val="0095020F"/>
    <w:rsid w:val="00951790"/>
    <w:rsid w:val="00965518"/>
    <w:rsid w:val="009701D8"/>
    <w:rsid w:val="009710B3"/>
    <w:rsid w:val="009932E7"/>
    <w:rsid w:val="009A6370"/>
    <w:rsid w:val="009A79AC"/>
    <w:rsid w:val="009B1869"/>
    <w:rsid w:val="009C4C13"/>
    <w:rsid w:val="009C6D9D"/>
    <w:rsid w:val="009D20A3"/>
    <w:rsid w:val="009D57CB"/>
    <w:rsid w:val="009D645D"/>
    <w:rsid w:val="009E0681"/>
    <w:rsid w:val="009E37AA"/>
    <w:rsid w:val="009F7BC4"/>
    <w:rsid w:val="00A04503"/>
    <w:rsid w:val="00A068CC"/>
    <w:rsid w:val="00A11C24"/>
    <w:rsid w:val="00A16575"/>
    <w:rsid w:val="00A17E15"/>
    <w:rsid w:val="00A25DE2"/>
    <w:rsid w:val="00A320D3"/>
    <w:rsid w:val="00A3386E"/>
    <w:rsid w:val="00A3664F"/>
    <w:rsid w:val="00A96C30"/>
    <w:rsid w:val="00AA1FA0"/>
    <w:rsid w:val="00AC2E7A"/>
    <w:rsid w:val="00AC6539"/>
    <w:rsid w:val="00AD4924"/>
    <w:rsid w:val="00AD55CE"/>
    <w:rsid w:val="00AF1A33"/>
    <w:rsid w:val="00B02E02"/>
    <w:rsid w:val="00B262D6"/>
    <w:rsid w:val="00B41660"/>
    <w:rsid w:val="00B45125"/>
    <w:rsid w:val="00B460A2"/>
    <w:rsid w:val="00B46808"/>
    <w:rsid w:val="00B47179"/>
    <w:rsid w:val="00B53C78"/>
    <w:rsid w:val="00B54871"/>
    <w:rsid w:val="00B54F67"/>
    <w:rsid w:val="00B62D9F"/>
    <w:rsid w:val="00B65E73"/>
    <w:rsid w:val="00B721B5"/>
    <w:rsid w:val="00B73F4B"/>
    <w:rsid w:val="00B7502F"/>
    <w:rsid w:val="00B757CF"/>
    <w:rsid w:val="00B75E13"/>
    <w:rsid w:val="00BA1613"/>
    <w:rsid w:val="00BA655C"/>
    <w:rsid w:val="00BB436B"/>
    <w:rsid w:val="00BC3560"/>
    <w:rsid w:val="00BD2223"/>
    <w:rsid w:val="00BD5335"/>
    <w:rsid w:val="00BF0B49"/>
    <w:rsid w:val="00BF60C8"/>
    <w:rsid w:val="00C02DA6"/>
    <w:rsid w:val="00C043CE"/>
    <w:rsid w:val="00C06954"/>
    <w:rsid w:val="00C22568"/>
    <w:rsid w:val="00C24134"/>
    <w:rsid w:val="00C27B1E"/>
    <w:rsid w:val="00C32E2C"/>
    <w:rsid w:val="00C347B0"/>
    <w:rsid w:val="00C3620E"/>
    <w:rsid w:val="00C60F4C"/>
    <w:rsid w:val="00C67221"/>
    <w:rsid w:val="00C67C92"/>
    <w:rsid w:val="00C7012A"/>
    <w:rsid w:val="00C81476"/>
    <w:rsid w:val="00C8596E"/>
    <w:rsid w:val="00C87954"/>
    <w:rsid w:val="00C959C3"/>
    <w:rsid w:val="00C97F56"/>
    <w:rsid w:val="00CA6769"/>
    <w:rsid w:val="00CB01EB"/>
    <w:rsid w:val="00CB0B2F"/>
    <w:rsid w:val="00CB0E8C"/>
    <w:rsid w:val="00CC0A43"/>
    <w:rsid w:val="00CC60B2"/>
    <w:rsid w:val="00CD3425"/>
    <w:rsid w:val="00CD5B09"/>
    <w:rsid w:val="00CD6FAB"/>
    <w:rsid w:val="00CE7F07"/>
    <w:rsid w:val="00D165BE"/>
    <w:rsid w:val="00D322A8"/>
    <w:rsid w:val="00D47F47"/>
    <w:rsid w:val="00D53510"/>
    <w:rsid w:val="00D6715A"/>
    <w:rsid w:val="00D85BDB"/>
    <w:rsid w:val="00D86B7D"/>
    <w:rsid w:val="00DB212F"/>
    <w:rsid w:val="00DB3609"/>
    <w:rsid w:val="00DC6E44"/>
    <w:rsid w:val="00DC7E6D"/>
    <w:rsid w:val="00DD5228"/>
    <w:rsid w:val="00DD6713"/>
    <w:rsid w:val="00DE51F0"/>
    <w:rsid w:val="00DF63A8"/>
    <w:rsid w:val="00DF7EB2"/>
    <w:rsid w:val="00E05F2D"/>
    <w:rsid w:val="00E26DBD"/>
    <w:rsid w:val="00E27101"/>
    <w:rsid w:val="00E3028C"/>
    <w:rsid w:val="00E30420"/>
    <w:rsid w:val="00E33BA2"/>
    <w:rsid w:val="00E41ED7"/>
    <w:rsid w:val="00E637B0"/>
    <w:rsid w:val="00E63EE1"/>
    <w:rsid w:val="00E74CFE"/>
    <w:rsid w:val="00E90316"/>
    <w:rsid w:val="00E92994"/>
    <w:rsid w:val="00EA0B73"/>
    <w:rsid w:val="00EA3E9D"/>
    <w:rsid w:val="00EC1EE7"/>
    <w:rsid w:val="00ED199F"/>
    <w:rsid w:val="00ED57E7"/>
    <w:rsid w:val="00EE05EA"/>
    <w:rsid w:val="00EE20AB"/>
    <w:rsid w:val="00EE586C"/>
    <w:rsid w:val="00EE7C4C"/>
    <w:rsid w:val="00EF03A4"/>
    <w:rsid w:val="00EF2A51"/>
    <w:rsid w:val="00EF4FB5"/>
    <w:rsid w:val="00EF57C0"/>
    <w:rsid w:val="00EF77BE"/>
    <w:rsid w:val="00F24CF9"/>
    <w:rsid w:val="00F50638"/>
    <w:rsid w:val="00F70FF0"/>
    <w:rsid w:val="00F77218"/>
    <w:rsid w:val="00F83A9D"/>
    <w:rsid w:val="00F92C0E"/>
    <w:rsid w:val="00F93E2A"/>
    <w:rsid w:val="00F977F8"/>
    <w:rsid w:val="00FA3DE2"/>
    <w:rsid w:val="00FC21D6"/>
    <w:rsid w:val="00FC28FC"/>
    <w:rsid w:val="00FE3DD1"/>
    <w:rsid w:val="00FE5068"/>
    <w:rsid w:val="00FE50E1"/>
    <w:rsid w:val="00FF6F17"/>
    <w:rsid w:val="00FF78CA"/>
    <w:rsid w:val="00FF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505C17"/>
  <w15:chartTrackingRefBased/>
  <w15:docId w15:val="{8E0DF2BA-661B-4A4B-935D-A3E3830FC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41730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44AE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43767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01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0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0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0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0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417309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20">
    <w:name w:val="Заголовок 2 Знак"/>
    <w:basedOn w:val="a0"/>
    <w:link w:val="2"/>
    <w:uiPriority w:val="9"/>
    <w:rsid w:val="00844AE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43767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701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701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701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701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701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701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0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770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0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70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70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701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7017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701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701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701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7017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7017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7017F"/>
    <w:rPr>
      <w:color w:val="605E5C"/>
      <w:shd w:val="clear" w:color="auto" w:fill="E1DFDD"/>
    </w:rPr>
  </w:style>
  <w:style w:type="paragraph" w:customStyle="1" w:styleId="docdata">
    <w:name w:val="docdata"/>
    <w:aliases w:val="docy,v5,3070,bqiaagaaeyqcaaagiaiaaamxcwaabt8laaaaaaaaaaaaaaaaaaaaaaaaaaaaaaaaaaaaaaaaaaaaaaaaaaaaaaaaaaaaaaaaaaaaaaaaaaaaaaaaaaaaaaaaaaaaaaaaaaaaaaaaaaaaaaaaaaaaaaaaaaaaaaaaaaaaaaaaaaaaaaaaaaaaaaaaaaaaaaaaaaaaaaaaaaaaaaaaaaaaaaaaaaaaaaaaaaaaaaaa"/>
    <w:basedOn w:val="a"/>
    <w:rsid w:val="00CC60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EC1E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EC1EE7"/>
  </w:style>
  <w:style w:type="paragraph" w:styleId="af">
    <w:name w:val="footer"/>
    <w:basedOn w:val="a"/>
    <w:link w:val="af0"/>
    <w:uiPriority w:val="99"/>
    <w:unhideWhenUsed/>
    <w:rsid w:val="00EC1E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EC1EE7"/>
  </w:style>
  <w:style w:type="numbering" w:customStyle="1" w:styleId="1">
    <w:name w:val="Текущий список1"/>
    <w:uiPriority w:val="99"/>
    <w:rsid w:val="00681373"/>
    <w:pPr>
      <w:numPr>
        <w:numId w:val="1"/>
      </w:numPr>
    </w:pPr>
  </w:style>
  <w:style w:type="paragraph" w:styleId="af1">
    <w:name w:val="TOC Heading"/>
    <w:basedOn w:val="10"/>
    <w:next w:val="a"/>
    <w:uiPriority w:val="39"/>
    <w:unhideWhenUsed/>
    <w:qFormat/>
    <w:rsid w:val="00A068C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2">
    <w:name w:val="Normal (Web)"/>
    <w:basedOn w:val="a"/>
    <w:uiPriority w:val="99"/>
    <w:unhideWhenUsed/>
    <w:rsid w:val="00ED57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3">
    <w:name w:val="No Spacing"/>
    <w:uiPriority w:val="1"/>
    <w:qFormat/>
    <w:rsid w:val="006D7133"/>
    <w:pPr>
      <w:spacing w:after="0" w:line="240" w:lineRule="auto"/>
    </w:pPr>
  </w:style>
  <w:style w:type="character" w:styleId="af4">
    <w:name w:val="Strong"/>
    <w:basedOn w:val="a0"/>
    <w:uiPriority w:val="22"/>
    <w:qFormat/>
    <w:rsid w:val="00015813"/>
    <w:rPr>
      <w:b/>
      <w:bCs/>
    </w:rPr>
  </w:style>
  <w:style w:type="table" w:styleId="af5">
    <w:name w:val="Table Grid"/>
    <w:basedOn w:val="a1"/>
    <w:uiPriority w:val="39"/>
    <w:rsid w:val="00015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0168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AD55CE"/>
    <w:pPr>
      <w:tabs>
        <w:tab w:val="right" w:leader="dot" w:pos="9345"/>
      </w:tabs>
      <w:spacing w:after="100"/>
      <w:jc w:val="both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2F1E6C"/>
    <w:pPr>
      <w:spacing w:after="100"/>
      <w:ind w:left="170"/>
    </w:pPr>
    <w:rPr>
      <w:rFonts w:ascii="Times New Roman" w:hAnsi="Times New Roman"/>
    </w:rPr>
  </w:style>
  <w:style w:type="paragraph" w:styleId="31">
    <w:name w:val="toc 3"/>
    <w:basedOn w:val="a"/>
    <w:next w:val="a"/>
    <w:autoRedefine/>
    <w:uiPriority w:val="39"/>
    <w:unhideWhenUsed/>
    <w:rsid w:val="002F1E6C"/>
    <w:pPr>
      <w:spacing w:after="100"/>
      <w:ind w:left="397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13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12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6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5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72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24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653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255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0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25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533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113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26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2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23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930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5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9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32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nvestfuture.ru/" TargetMode="External"/><Relationship Id="rId18" Type="http://schemas.openxmlformats.org/officeDocument/2006/relationships/hyperlink" Target="https://www.consultant.ru/document/cons_doc_LAW_2400/51238a20b6a62975da8bdcd0bee4b3d54ff38a39/" TargetMode="External"/><Relationship Id="rId3" Type="http://schemas.openxmlformats.org/officeDocument/2006/relationships/styles" Target="styles.xml"/><Relationship Id="rId21" Type="http://schemas.openxmlformats.org/officeDocument/2006/relationships/hyperlink" Target="https://companium.ru/id/1147746529920-npp-rogneda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rogneda.ru/company/" TargetMode="External"/><Relationship Id="rId17" Type="http://schemas.openxmlformats.org/officeDocument/2006/relationships/hyperlink" Target="https://glavkniga.ru/situations/s50550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consultant.ru/document/cons_doc_LAW_373204/7626c2ceb5ecaaf2b3c5d502e77c42aefc0cce35/" TargetMode="External"/><Relationship Id="rId20" Type="http://schemas.openxmlformats.org/officeDocument/2006/relationships/hyperlink" Target="https://companium.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slanbaraka.uz/o-kompanii-1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garant.ru/products/ipo/prime/doc/70953868/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xn--32-6kc6aiblpikdn.xn--p1ai/info/brands/rogneda/" TargetMode="External"/><Relationship Id="rId19" Type="http://schemas.openxmlformats.org/officeDocument/2006/relationships/hyperlink" Target="https://www.trudohrana.ru/article/104656-24-m7-kak-primenit-rezultaty-proverki-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delanounas.ru/blogs/5039/" TargetMode="External"/><Relationship Id="rId14" Type="http://schemas.openxmlformats.org/officeDocument/2006/relationships/hyperlink" Target="https://investfuture.ru/articles/ekonomicheskiy-uscherb-chto-eto-takoe-formy-vliyanie-i-metody-otsenki" TargetMode="External"/><Relationship Id="rId22" Type="http://schemas.openxmlformats.org/officeDocument/2006/relationships/hyperlink" Target="https://www.tbank.ru/business/contractor/legal/114774652992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12B31B-B807-48E5-A611-3C6093ABF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20</Pages>
  <Words>4324</Words>
  <Characters>24653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Марфина</dc:creator>
  <cp:keywords/>
  <dc:description/>
  <cp:lastModifiedBy>Учетная запись Майкрософт</cp:lastModifiedBy>
  <cp:revision>68</cp:revision>
  <dcterms:created xsi:type="dcterms:W3CDTF">2026-07-09T08:27:00Z</dcterms:created>
  <dcterms:modified xsi:type="dcterms:W3CDTF">2026-07-20T13:27:00Z</dcterms:modified>
</cp:coreProperties>
</file>