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Сербия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Электронный документооборот в целом. Сравнение с Российской Федерацией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sz w:val="24"/>
        </w:rPr>
        <w:t>Основные акты: Закон об электронном документе, электронной идентификации и услугах доверия (Сл. гласник РС 94/2017, 52/2021); Судски пословник ст. 157а</w:t>
      </w:r>
    </w:p>
    <w:p>
      <w:r>
        <w:rPr>
          <w:rFonts w:ascii="Calibri" w:hAnsi="Calibri" w:eastAsia="Calibri"/>
          <w:b w:val="0"/>
          <w:sz w:val="24"/>
        </w:rPr>
        <w:t>Сербский закон 2017/2021 гг. скопировал логику eIDAS: простая, усовершенствованная и квалифицированная подпись; QES = собственноручная. Сделки, требующие нотариального удостоверения, электронной подписью не подписываются.</w:t>
      </w:r>
    </w:p>
    <w:p>
      <w:r>
        <w:rPr>
          <w:rFonts w:ascii="Calibri" w:hAnsi="Calibri" w:eastAsia="Calibri"/>
          <w:b w:val="0"/>
          <w:sz w:val="24"/>
        </w:rPr>
        <w:t>Практика судов формалистична. Конституционный суд (ноябрь 2023 г.) не счёл электронную жалобу поданной, потому что она ушла не на адрес для электронных подач и не была подписана QES заявителя. Апелляционный суд в Нише (Gž 1664/20, 16.09.2020) отклонил электронную апелляцию адвоката без квалифицированного сертификата как неполную (нет подписи).</w:t>
      </w:r>
    </w:p>
    <w:p>
      <w:r>
        <w:rPr>
          <w:rFonts w:ascii="Calibri" w:hAnsi="Calibri" w:eastAsia="Calibri"/>
          <w:b w:val="0"/>
          <w:sz w:val="24"/>
        </w:rPr>
        <w:t>Трудовой закон сохраняет формальный уклон: электронное оформление трудовых документов на практике рискованно, пока специальная норма не скажет иное. Это важный контраст с законом об электронном документе, который сам по себе «разрешает» ЭДО.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eIDAS‑подобная иерархия без членства в ЕС.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Судебная подача = QES, иначе документ не существует для срока.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Разрыв между IT‑законом и трудовым формализмом.</w:t>
      </w:r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22.1–22.3 (кадровый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04.08.2026 № 315‑ФЗ (УКЭП международных организаций):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Сербия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QES имеет силу собственноручной подписи (ст. 20 закона). Простая ЭП не отвергается только из‑за электронной формы, но для «подписи» в формальных процедурах суды требуют QES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Модель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SES / AES / QES по модели eIDAS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ПЭП / УНЭП / УКЭП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Инфраструктура доверия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Квалифицированные удостоверяющие сервисы; для суда — QES + правильный адрес подачи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Аккредитованные УЦ, операторы ЭДО, УЦ ФНС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Трансграничность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Выравнивание с eIDAS; автоматического взаимного признания с ЕС как у государств‑членов нет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7 63‑ФЗ, договоры, ДТС ЕАЭС; 315‑ФЗ — УКЭП международных организаций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 с РФ: квалифицированная подпись как замена собственноручной; суды чувствительны к виду ЭП.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в РФ КЭДО специально урегулирован ст. 22.1–22.3 ТК; в Сербии трудового ЭДО‑режима почти нет.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сербские суды для процессуальных документов требуют именно QES — жёстче, чем свободная оценка pantallazos в Испании.</w:t>
      </w:r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Явно прописать канал подачи и вид ЭП (как ст. 157а Судског пословника) — иначе «электронно отправили, срок пропущен».</w:t>
      </w:r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переносить процессуальный формализм QES на все журналы ОТ: Сербия сама для большинства форм ОТ разрешила электронику, но оставила бумагу для учёта обученных (Form 6).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Подача жалобы e‑mail / QES, Конституционный суд, XI.2023 (обзор PR Legal):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https://www.prlegal.rs/filing-a-complaint-via-email-yes-it-is-possible/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Высший суд Ниша: приём электронных подач, QES: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https://ni.vi.sud.rs/tekst/1958/prijem-elektronskih-podnesaka.php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112701/" TargetMode="External"/><Relationship Id="rId10" Type="http://schemas.openxmlformats.org/officeDocument/2006/relationships/hyperlink" Target="https://www.consultant.ru/document/cons_doc_LAW_34683/" TargetMode="External"/><Relationship Id="rId11" Type="http://schemas.openxmlformats.org/officeDocument/2006/relationships/hyperlink" Target="http://kremlin.ru/acts/news/80444" TargetMode="External"/><Relationship Id="rId12" Type="http://schemas.openxmlformats.org/officeDocument/2006/relationships/hyperlink" Target="https://www.prlegal.rs/filing-a-complaint-via-email-yes-it-is-possible/" TargetMode="External"/><Relationship Id="rId13" Type="http://schemas.openxmlformats.org/officeDocument/2006/relationships/hyperlink" Target="https://ni.vi.sud.rs/tekst/1958/prijem-elektronskih-podnesaka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