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охране труда: Франция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sz w:val="24"/>
        </w:rPr>
        <w:t>Основные акты: Code du travail L. 4121‑1, L. 4121‑2 (обязанность безопасности); L. 4141 (информация и обучение); CC 1366–1367</w:t>
      </w:r>
    </w:p>
    <w:p>
      <w:r>
        <w:rPr>
          <w:rFonts w:ascii="Calibri" w:hAnsi="Calibri" w:eastAsia="Calibri"/>
          <w:b w:val="0"/>
          <w:sz w:val="24"/>
        </w:rPr>
        <w:t>L. 4121‑1/4121‑2: работодатель принимает необходимые меры безопасности. L. 4141: информация и обучение. Нет запрета вести учёт обучения электронно.</w:t>
      </w:r>
    </w:p>
    <w:p>
      <w:r>
        <w:rPr>
          <w:rFonts w:ascii="Calibri" w:hAnsi="Calibri" w:eastAsia="Calibri"/>
          <w:b w:val="0"/>
          <w:sz w:val="24"/>
        </w:rPr>
        <w:t>Cass. soc. 28 февраля 2024, n° 22‑15.624: если работник связывает несчастный случай с нарушением профилактики, именно работодатель должен доказать, что принял все меры L. 4121. Апелляция, переложившая бремя на работника («сам не объяснил обстоятельства травмы»), отменена.</w:t>
      </w:r>
    </w:p>
    <w:p>
      <w:r>
        <w:rPr>
          <w:rFonts w:ascii="Calibri" w:hAnsi="Calibri" w:eastAsia="Calibri"/>
          <w:b w:val="0"/>
          <w:sz w:val="24"/>
        </w:rPr>
        <w:t>В этом свете электронный журнал — инструмент доказывания мер (обучение, инструктаж, СИЗ), а не самоцель. Слабая система (клики без идентификации, сканы подписей) не поможет снять бремя 22‑15.624.</w:t>
      </w:r>
    </w:p>
    <w:p>
      <w:r>
        <w:rPr>
          <w:rFonts w:ascii="Calibri" w:hAnsi="Calibri" w:eastAsia="Calibri"/>
          <w:b w:val="0"/>
          <w:sz w:val="24"/>
        </w:rPr>
        <w:t>Cass. soc. 21‑19.841 полезна как предостережение: «вставил подпись начальника картинкой» — не электронная подпись. Для журнала ОТ это прямой риск.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Бремя мер безопасности — на работодателе даже в иске о судебном расторжении договора.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статутного запрета e‑учёта обучения.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Скан подписи не лечит форму журнала как e‑signature.</w:t>
      </w:r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Франция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 записей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После несчастного случая работодатель должен доказать, что принял все меры L. 4121. Электронные записи обучения — одно из возможных доказательств, но скан «подписи в журнале» сам по себе не электронная подпись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Подпись / форма журнала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Для журнала ОТ закон не требует QES. Но если работодатель хочет презумпцию авторства записи — нужна QES. Скан (Cass. soc. 21‑19.841) не является e‑signature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Доверие / система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Внутренние регистры + бремя доказывания на работодателе (Cass. soc. 22‑15.624)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после НС работодатель доказывает инструктаж и меры.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Франция не выводит акты НС и журналы из ЭДО законом.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Германии: французская презумпция подписи жёстче (только QES), немецкая форма инструктажа мягче (подписи может не быть).</w:t>
      </w:r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Связать электронный журнал ОТ с бременем доказывания мер по 2464 / ТК: система должна позволять работодателю доказать факт, дату, тему и лицо.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Запретить выдавать скан подписи за ЭП в журналах (урок 21‑19.841).</w:t>
      </w:r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путать «презумпцию QES» с «обязанностью подписывать каждый инструктаж УКЭП».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Cass. soc. 28.02.2024, n° 22‑15.624 (обзор):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https://www.lemag-juridique.com/articles/responsabilite-preuve-manquement-lemployeur-regles-prevention-securite-lorigine-laccident-travail-salarie-6418.htm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Cass. soc. 14.12.2022, n° 21‑19.841 (KPMG):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https://kpmg.com/av/fr/avocats/eclairages/2023/01/valeur-juridique-de-la-signature-numerisee.html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consultant.ru/document/cons_doc_LAW_112701/" TargetMode="External"/><Relationship Id="rId12" Type="http://schemas.openxmlformats.org/officeDocument/2006/relationships/hyperlink" Target="https://www.lemag-juridique.com/articles/responsabilite-preuve-manquement-lemployeur-regles-prevention-securite-lorigine-laccident-travail-salarie-6418.htm" TargetMode="External"/><Relationship Id="rId13" Type="http://schemas.openxmlformats.org/officeDocument/2006/relationships/hyperlink" Target="https://kpmg.com/av/fr/avocats/eclairages/2023/01/valeur-juridique-de-la-signature-numerise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