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Германия: судебная практика — ЭДО в целом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BGH, Urteil vom 27.11.2024 — VIII ZR 155/23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 w:val="0"/>
          <w:sz w:val="24"/>
        </w:rPr>
        <w:t>Ниже — опубликованная практика по электронным документам / подписи. Цитата и ссылки проверяемые.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Германия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Bundesgerichtshof (VIII. Zivilsenat)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BGH, Urteil vom 27.11.2024 — VIII ZR 155/23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Zugang волеизъявления, подписанного квалифицированной электронной подписью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 практика по ЭДО / электронным доказательствам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В гражданском споре сторона направила волеизъявление в электронном документе с квалифицированной электронной подписью. Возник вопрос, считается ли такое заявление дошедшим до адресата, если тот получил не проверяемый электронный файл с QES, а бумажную распечатку / передачу без возможности проверить подпись.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Для соблюдения электронной формы (§ 126a BGB) недостаточно, что заявление подписано QES. Оно должно поступить в сферу контроля адресата так, чтобы он мог проверить квалифицированную подпись и тем самым подлинность документа. До 17.07.2024 (вступление § 130e ZPO) это выполнялось, если суд пересылал электронный документ адресату с сохранением подписи. Передача бумажной распечатки с Transfervermerk по § 298 Abs. 3 ZPO доступа в смысле электронной формы не создаёт (см. также параллельное VIII ZR 159/23).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QES ≈ собственноручная подпись, но только если файл можно проверить — не «скан с картинкой подписи».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российского ЭДО: документ с УКЭП, который сторона получила как PDF без возможности валидации сертификата, в немецкой логике может не считаться «дошедшим в форме».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Это гражданская, не «охрана труда» практика, но она задаёт стандарт доказываемости любого юридически значимого ЭДО.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Официальный PDF BGH VIII ZR 155/23: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https://www.bundesgerichtshof.de/SharedDocs/Entscheidungen/DE/Zivilsenate/VIII_ZS/2023/VIII_ZR_155-23.pdf?__blob=publicationFile&amp;v=1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Краткая карточка rewis.io: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https://rewis.io/urteile/urteil/wfg-27-11-2024-viii-zr-15523/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undesgerichtshof.de/SharedDocs/Entscheidungen/DE/Zivilsenate/VIII_ZS/2023/VIII_ZR_155-23.pdf?__blob=publicationFile&amp;v=1" TargetMode="External"/><Relationship Id="rId10" Type="http://schemas.openxmlformats.org/officeDocument/2006/relationships/hyperlink" Target="https://rewis.io/urteile/urteil/wfg-27-11-2024-viii-zr-155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