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Германия: судебная практика — ЭДО в охране труда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BAG, Beschluss vom 11.01.2011 — 1 ABR 104/09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r>
        <w:rPr>
          <w:rFonts w:ascii="Calibri" w:hAnsi="Calibri" w:eastAsia="Calibri"/>
          <w:b/>
          <w:color w:val="1F4E79"/>
          <w:sz w:val="22"/>
        </w:rPr>
        <w:t xml:space="preserve">Пометка о статусе практики. </w:t>
      </w:r>
      <w:r>
        <w:rPr>
          <w:rFonts w:ascii="Calibri" w:hAnsi="Calibri" w:eastAsia="Calibri"/>
          <w:b w:val="0"/>
          <w:color w:val="535353"/>
          <w:sz w:val="22"/>
        </w:rPr>
        <w:t>Это аналогия: отдельного опубликованного решения именно об «электронном журнале инструктажа / электронном документе ОТ» не найдено. Ниже — ближайшая реальная практика (или связка нормы ОТ и процессуальных правил ЭДО). Номера дел не вымышлены.</w:t>
      </w:r>
    </w:p>
    <w:p>
      <w:pPr>
        <w:pStyle w:val="Heading1"/>
      </w:pPr>
      <w:r>
        <w:t>1.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Страна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Германия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Суд / орган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Bundesarbeitsgericht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Цитата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BAG, Beschluss vom 11.01.2011 — 1 ABR 104/09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Сюжет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Инструктаж по § 12 ArbSchG должен опираться на оценку рисков (§ 5) — содержание важнее формы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Статус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Аналогия (ближайшая практика)</w:t>
            </w:r>
          </w:p>
        </w:tc>
      </w:tr>
    </w:tbl>
    <w:p/>
    <w:p>
      <w:pPr>
        <w:pStyle w:val="Heading1"/>
      </w:pPr>
      <w:r>
        <w:t>2. Фабула</w:t>
      </w:r>
    </w:p>
    <w:p>
      <w:r>
        <w:rPr>
          <w:rFonts w:ascii="Calibri" w:hAnsi="Calibri" w:eastAsia="Calibri"/>
          <w:b w:val="0"/>
          <w:sz w:val="24"/>
        </w:rPr>
        <w:t>Согласительная комиссия (Einigungsstelle) утвердила правила Unterweisung по § 12 ArbSchG без предшествующей Gefährdungsbeurteilung. Работодатель оспаривал действительность решения.</w:t>
      </w:r>
    </w:p>
    <w:p>
      <w:pPr>
        <w:pStyle w:val="Heading1"/>
      </w:pPr>
      <w:r>
        <w:t>3. Правовая позиция</w:t>
      </w:r>
    </w:p>
    <w:p>
      <w:r>
        <w:rPr>
          <w:rFonts w:ascii="Calibri" w:hAnsi="Calibri" w:eastAsia="Calibri"/>
          <w:b w:val="0"/>
          <w:sz w:val="24"/>
        </w:rPr>
        <w:t>Если комиссия регулирует вид и содержание инструктажа, она обязана учесть результаты оценки рисков и выстроить конкретный, привязанный к рабочему месту инструктаж. Нельзя ограничиться общими положениями «о опасностях на работе». Без оценки рисков регулирование неполно и может быть признано недействительным целиком.</w:t>
      </w:r>
    </w:p>
    <w:p>
      <w:pPr>
        <w:pStyle w:val="Heading1"/>
      </w:pPr>
      <w:r>
        <w:t>4. Значение для НИР (ЭДО / ОТ / РФ)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Это не дело «об электронном журнале»: отдельной публикации BAG именно про цифровой журнал инструктажа не найдено.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Аналогия для ЭДО в ОТ прямая: электронный курс/журнал, не привязанный к оценке рисков, так же дефектен, как бумажный общий инструктаж.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Для сравнения с РФ: немецкие суды бьют по содержанию инструктажа, российский законодатель — по носителю (запрет КЭДО для журналов и актов НС).</w:t>
      </w:r>
    </w:p>
    <w:p>
      <w:pPr>
        <w:pStyle w:val="Heading1"/>
      </w:pPr>
      <w:r>
        <w:t>5.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BAG 1 ABR 104/09, официальная страница: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https://www.bundesarbeitsgericht.de/entscheidung/1-abr-104-09/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undesarbeitsgericht.de/entscheidung/1-abr-104-0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