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Франция: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Cass. soc., 28 février 2024, n° 22‑15.624; дополнительно Cass. soc., 14 décembre 2022, n° 21‑19.841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Франция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Cour de cassation, chambre sociale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Cass. soc., 28 février 2024, n° 22‑15.624; дополнительно Cass. soc., 14 décembre 2022, n° 21‑19.841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бремя мер безопасности на работодателе; скан подписи ≠ электронная подпись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Работник требовал судебного расторжения договора, ссылаясь на НС и отсутствие СИЗ. Апелляция отказала: работник не объяснил обстоятельства травмы, бремя якобы на нём. Отдельно в 21‑19.841 работник оспаривал срочный договор из‑за отсканированной подписи работодателя.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22‑15.624: когда работник связывает НС с нарушением профилактики, работодатель должен доказать, что принял все меры L. 4121‑1 и L. 4121‑2. 21‑19.841: скан подписи не есть электронная подпись (1367), но не равен отсутствию подписи, если автор идентифицирован.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Аналогия: нет дела «электронный журнал инструктажа», есть дела о доказывании мер ОТ и о природе подписи на трудовом документе.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Электронный журнал полезен только если помогает закрыть бремя 22‑15.624.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Скан «росписей» в PDF‑журнале по 21‑19.841 не превращает его в документ с электронной подписью.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22‑15.624, обзор: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https://ogletree.fr/publications/od-flash-resiliation-judiciaire-du-contrat-de-travail-et-accident-du-travail-charge-de-la-preuve-en-cas-de-manquement-de-lemployeur-aux-regles-de-prevention-et-de-securite/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21‑19.841, KPMG: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https://kpmg.com/av/fr/avocats/eclairages/2023/01/valeur-juridique-de-la-signature-numerisee.html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gletree.fr/publications/od-flash-resiliation-judiciaire-du-contrat-de-travail-et-accident-du-travail-charge-de-la-preuve-en-cas-de-manquement-de-lemployeur-aux-regles-de-prevention-et-de-securite/" TargetMode="External"/><Relationship Id="rId10" Type="http://schemas.openxmlformats.org/officeDocument/2006/relationships/hyperlink" Target="https://kpmg.com/av/fr/avocats/eclairages/2023/01/valeur-juridique-de-la-signature-numeris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