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МОДУЛЬ 2. ПРОЕКТИРОВАНИЕ СЕТЕЙ ГАЗОРАСПРЕДЕЛЕНИЯ И ГАЗОПОТРЕБЛЕНИЯ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Тема 2.2. Требования к проектированию: трассы, материалы, ГРП/ГРУ, вентиляция, КИП</w:t>
      </w:r>
    </w:p>
    <w:p/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Требования к проектированию сетей газораспределения и газопотребления (трассы, материалы, газорегуляторные пункты и установки, вентиляция, контрольно-измерительные приборы) установлены Техническим регламентом о безопасности сетей газораспределения и газопотребления (ПП РФ № 870, раздел IV), Федеральными нормами и правилами «Правила безопасности сетей газораспределения и газопотребления» (приказ Ростехнадзора от 15.12.2020 № 531), а также сводами правил СП 62.13330, СП 42-101, СП 42-102, СП 42-103.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проведении экспертизы проектной документации проверяется выполнение требований пунктов 15–17 раздела III и раздела IV технического регламента (ПП РФ № 870, п. 90). Оценка соответствия при проектировании осуществляется в форме экспертизы проектной документации и результатов инженерных изысканий (ПП РФ № 870, п. 88).</w:t>
      </w:r>
    </w:p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 w:val="0"/>
          <w:sz w:val="24"/>
        </w:rPr>
        <w:t>Организация, осуществляющая проектирование сетей газораспределения и газопотребления, обеспечивает:</w:t>
      </w:r>
    </w:p>
    <w:p>
      <w:pPr>
        <w:pStyle w:val="ListParagraph"/>
        <w:spacing w:line="276" w:lineRule="auto" w:after="60"/>
        <w:ind w:left="709"/>
        <w:jc w:val="both"/>
      </w:pPr>
      <w:r>
        <w:rPr>
          <w:rFonts w:ascii="Times New Roman" w:hAnsi="Times New Roman" w:eastAsia="Times New Roman"/>
          <w:b w:val="0"/>
          <w:sz w:val="24"/>
        </w:rPr>
        <w:t>разработку разделов проектной документации с учётом требований раздела IV ТР (ПП РФ № 870) и Правил (ФНП № 531);</w:t>
      </w:r>
    </w:p>
    <w:p>
      <w:pPr>
        <w:pStyle w:val="ListParagraph"/>
        <w:spacing w:line="276" w:lineRule="auto" w:after="60"/>
        <w:ind w:left="709"/>
        <w:jc w:val="both"/>
      </w:pPr>
      <w:r>
        <w:rPr>
          <w:rFonts w:ascii="Times New Roman" w:hAnsi="Times New Roman" w:eastAsia="Times New Roman"/>
          <w:b w:val="0"/>
          <w:sz w:val="24"/>
        </w:rPr>
        <w:t>выбор трасс, материалов труб, технических устройств и КИП по проекту (ТР, п. 21);</w:t>
      </w:r>
    </w:p>
    <w:p>
      <w:pPr>
        <w:pStyle w:val="ListParagraph"/>
        <w:spacing w:line="276" w:lineRule="auto" w:after="60"/>
        <w:ind w:left="709"/>
        <w:jc w:val="both"/>
      </w:pPr>
      <w:r>
        <w:rPr>
          <w:rFonts w:ascii="Times New Roman" w:hAnsi="Times New Roman" w:eastAsia="Times New Roman"/>
          <w:b w:val="0"/>
          <w:sz w:val="24"/>
        </w:rPr>
        <w:t>проектирование ГРП, ГРПБ, ГРУ и пунктов учёта газа в соответствии с ТР, п. 35–44;</w:t>
      </w:r>
    </w:p>
    <w:p>
      <w:pPr>
        <w:pStyle w:val="ListParagraph"/>
        <w:spacing w:line="276" w:lineRule="auto" w:after="60"/>
        <w:ind w:left="709"/>
        <w:jc w:val="both"/>
      </w:pPr>
      <w:r>
        <w:rPr>
          <w:rFonts w:ascii="Times New Roman" w:hAnsi="Times New Roman" w:eastAsia="Times New Roman"/>
          <w:b w:val="0"/>
          <w:sz w:val="24"/>
        </w:rPr>
        <w:t>предусмотрение систем вентиляции, контроля загазованности и автоматики безопасности (ТР, п. 35, 47, 53, 55);</w:t>
      </w:r>
    </w:p>
    <w:p>
      <w:pPr>
        <w:pStyle w:val="ListParagraph"/>
        <w:spacing w:line="276" w:lineRule="auto" w:after="60"/>
        <w:ind w:left="709"/>
        <w:jc w:val="both"/>
      </w:pPr>
      <w:r>
        <w:rPr>
          <w:rFonts w:ascii="Times New Roman" w:hAnsi="Times New Roman" w:eastAsia="Times New Roman"/>
          <w:b w:val="0"/>
          <w:sz w:val="24"/>
        </w:rPr>
        <w:t>оформление паспортов на газопроводы и технологические устройства с указанием КИП (ФНП № 531, п. 16);</w:t>
      </w:r>
    </w:p>
    <w:p>
      <w:pPr>
        <w:pStyle w:val="ListParagraph"/>
        <w:spacing w:line="276" w:lineRule="auto" w:after="60"/>
        <w:ind w:left="709"/>
        <w:jc w:val="both"/>
      </w:pPr>
      <w:r>
        <w:rPr>
          <w:rFonts w:ascii="Times New Roman" w:hAnsi="Times New Roman" w:eastAsia="Times New Roman"/>
          <w:b w:val="0"/>
          <w:sz w:val="24"/>
        </w:rPr>
        <w:t>проведение экспертизы проектной документации до получения разрешения на строительство (ТР, п. 91).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Материалы, расчёты и защита от коррозии</w:t>
      </w:r>
    </w:p>
    <w:p/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Выбор технических и технологических устройств, материала и конструкции труб и соединительных деталей, защитных покрытий, вида и способа прокладки газопроводов должен осуществляться с учётом требуемых по условиям эксплуатации параметров давления и температуры природного газа, гидрогеологических данных, природных условий и техногенных воздействий (ПП РФ № 870, п. 21).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проектировании газопроводов должны выполняться расчёты на прочность и устойчивость, а также на пропускную способность (ПП РФ № 870, п. 22). Толщина стенок труб и соединительных деталей должна определяться расчётом с учётом давления газа, внешних воздействий, коэффициентов надёжности и материала труб (ПП РФ № 870, п. 24).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проектировании должны предусматриваться методы и средства защиты от коррозии стальных подземных и надземных газопроводов, а также стальных вставок полиэтиленовых газопроводов (ПП РФ № 870, п. 25).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проектировании наружных газопроводов должны быть предусмотрены защитные покрытия или устройства в местах входа и выхода из земли, пересечений с коллекторами и тоннелями, прохода через стенки колодцев, под дорогами и железнодорожными путями, прохода через конструкции зданий, разъёмных соединений «полиэтилен — сталь», пересечений с нефтепроводами и теплотрассами (ПП РФ № 870, п. 27).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Трассы и способ прокладки наружных газопроводов</w:t>
      </w:r>
    </w:p>
    <w:p/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проектировании наружных газопроводов вид и способ прокладки, расстояния по горизонтали и вертикали от газопроводов до смежных зданий, сооружений, естественных и искусственных преград должны выбираться с учётом давления в газопроводе, плотности застройки и уровня ответственности зданий таким образом, чтобы обеспечить безопасность транспортирования природного газа (ПП РФ № 870, п. 26).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Глубина прокладки подземных газопроводов принимается с учётом климатических и гидрогеологических условий и внешних воздействий (ПП РФ № 870, п. 26). На оползневых и подверженных эрозии участках подземный газопровод проектируется на 0,5 м ниже плоскости скольжения оползня или границы прогнозируемого размыва (ПП РФ № 870, п. 33).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сейсмических районах и на территориях подземных горных разработок должны быть предусмотрены технические решения по снижению деформаций и напряжений в газопроводе (компенсаторы, надземная прокладка и др.) (ПП РФ № 870, п. 34).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Не допускается проектирование наружных газопроводов по стенам, над и под помещениями категории А и Б (кроме зданий ГРП и пунктов учёта газа); по горючим мостам и железнодорожным мостам (ПП РФ № 870, п. 28). Газопроводы высокого давления (&gt; 0,6 МПа) не допускается проектировать по мостам из негорючих материалов (ПП РФ № 870, п. 29).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Количество, места размещения и вид запорной арматуры на наружных газопроводах должны обеспечивать отключение участков для локализации аварий и проведения ремонтных работ (ПП РФ № 870, п. 31).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проектной документации на сеть газораспределения указываются границы охранных зон (ПП РФ № 870, п. 18). Для наружных газопроводов — 2 м с каждой стороны; вокруг отдельно стоящих ГРП — 10 м (ПП РФ № 878, п. 7).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ГРП, ГРПБ и пункты учёта газа</w:t>
      </w:r>
    </w:p>
    <w:p/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Конструкции зданий ГРП, ГРПБ и пунктов учёта газа должны обеспечивать взрывоустойчивость. Строительные конструкции здания ГРП — I и II степени огнестойкости, класс С0; ГРПБ и пунктов учёта — III–V степени огнестойкости, класс С0; шкаф ГРП шкафного — из негорючих материалов (ПП РФ № 870, п. 35).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Технологические устройства оснащаются молниезащитой, заземлением и вентиляцией; после первого отключающего устройства устанавливаются продувочные газопроводы; предохранительные сбросные клапаны — со сбросными газопроводами (ПП РФ № 870, п. 35).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обеспечения взрывоустойчивости помещений линий редуцирования ГРП и технологических помещений пунктов учёта предусматриваются легкосбрасываемые конструкции площадью не менее 0,05 м² на 1 м³ свободного объёма помещения (ПП РФ № 870, п. 36). Помещение линий редуцирования отделяется противопожарной стеной 2-го типа или перегородкой 1-го типа (ПП РФ № 870, п. 37).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ГРП могут размещаться отдельно стоящими, пристроенными, встроенными в 1-этажные производственные здания и котельные, на покрытиях зданий или на открытых площадках под навесом (ПП РФ № 870, п. 38). ГРПБ — только отдельно стоящими (ПП РФ № 870, п. 39). ГРП шкафные — на опорах или наружных стенах зданий (ПП РФ № 870, п. 40).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Газорегуляторные установки (ГРУ)</w:t>
      </w:r>
    </w:p>
    <w:p/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Газорегуляторные установки разрешается размещать в помещениях с газоиспользующим оборудованием или в смежных помещениях с открытыми проёмами (ПП РФ № 870, п. 41).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Давление природного газа на входе в газорегуляторную установку не должно превышать 0,6 МПа (ПП РФ № 870, п. 42).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Не допускается проектировать размещение ГРУ в помещениях категорий А и Б по взрывопожарной опасности (ПП РФ № 870, п. 43).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ГРП всех видов и ГРУ не допускается проектирование обводных газопроводов с запорной арматурой для транспортирования газа, минуя основной газопровод на участке ремонта (ПП РФ № 870, п. 44).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Внутренние газопроводы</w:t>
      </w:r>
    </w:p>
    <w:p/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Давление газа во внутренних газопроводах должно соответствовать параметрам изготовителя оборудования, но не превышать значений приложения № 2 к ТР (ПП РФ № 870, п. 45).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Не допускается проектирование внутренних газопроводов в помещениях кат. А и Б, во взрывоопасных зонах, в подвалах и цокольных этажах (кроме обусловленных технологией), через вентиляционные камеры, лифтовые шахты, лестничные клетки и дымоходы (ПП РФ № 870, п. 46).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проектировании в подвальных и цокольных этажах (если прокладка обусловлена технологией) автоматика безопасности должна прекращать подачу газа при нарушении вентиляции; помещения оборудуются системой контроля загазованности с автоматическим отключением подачи газа и должны быть открыты сверху (ПП РФ № 870, п. 47).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внутренних газопроводах предусматриваются продувочные газопроводы на удалённых участках и на ответвлениях к оборудованию (ПП РФ № 870, п. 51–52).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Вентиляция и контроль загазованности (КИП)</w:t>
      </w:r>
    </w:p>
    <w:p/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проектировании технологических устройств предусматривается оснащение молниезащитой, заземлением и вентиляцией (ПП РФ № 870, п. 35).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Помещения с газоиспользующим оборудованием проектируются с системами контроля загазованности (по метану и оксиду углерода) с выводом сигнала на пульт управления (ПП РФ № 870, п. 53).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Вентиляция помещений с газоиспользующим оборудованием должна обеспечивать воздухообмен не менее трёхкратного в час для котельных с постоянным присутствием персонала и встраиваемых котельных (ПП РФ № 870, п. 55).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каждый газопровод (наружный и внутренний), технологическое устройство (ПРГ, ГРУ, котёл) составляются паспорта, содержащие основные данные об объекте, технических устройствах и контрольно-измерительных приборах, а также сведения о ТО, диагnostировании и ремонте (ФНП № 531, п. 16).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Технологические схемы газопроводов должны быть вывешены в помещениях ПРГ и щитов управления или воспроизведены на экране систем автоматического управления (ФНП № 531, п. 17).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Соотношение темы и нормативных документов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Раздел темы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Документ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Пункты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Трассы, прокладка, расстояния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ПП РФ № 870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26–34, 31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Материалы, расчёты, коррозия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ПП РФ № 870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21–25, 27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ГРП / ГРПБ / пункты учёта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ПП РФ № 870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35–41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ГРУ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ПП РФ № 870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41–44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Внутренние газопроводы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ПП РФ № 870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45–52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Вентиляция, КИП, загазованность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ПП РФ № 870; ФНП № 531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35, 47, 53, 55; п. 16–17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Охранные зоны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ПП РФ № 878; ПП РФ № 870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7; п. 18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Экспертиза проекта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ПП РФ № 870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88, 90–91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Детализация прокладки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СП 42-101, 42-102, 42-103, 62.13330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