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14:paraId="6B8AC449" w14:textId="77777777" w:rsidR="00DF7EB2" w:rsidRPr="00DF7EB2" w:rsidRDefault="00DF7EB2" w:rsidP="00DF7EB2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F7EB2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Министерство науки и высшего образования Российской Федерации</w:t>
      </w:r>
    </w:p>
    <w:p w14:paraId="45990BC5" w14:textId="77777777" w:rsidR="00DF7EB2" w:rsidRPr="00DF7EB2" w:rsidRDefault="00DF7EB2" w:rsidP="00DF7EB2">
      <w:pPr>
        <w:spacing w:before="240" w:after="24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F7EB2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Федеральное государственное бюджетное образовательное учреждение высшего образования</w:t>
      </w:r>
    </w:p>
    <w:p w14:paraId="1B656A19" w14:textId="77777777" w:rsidR="00DF7EB2" w:rsidRPr="00DF7EB2" w:rsidRDefault="00DF7EB2" w:rsidP="00DF7EB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 w:rsidRPr="00DF7EB2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Российский химико-технологический университет Д.И. Менделеева</w:t>
      </w:r>
    </w:p>
    <w:p w14:paraId="1CA3F948" w14:textId="77777777" w:rsidR="00DF7EB2" w:rsidRPr="00DF7EB2" w:rsidRDefault="00DF7EB2" w:rsidP="00DF7EB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</w:p>
    <w:p w14:paraId="599EFB79" w14:textId="77777777" w:rsidR="00DF7EB2" w:rsidRPr="00DF7EB2" w:rsidRDefault="00DF7EB2" w:rsidP="00DF7EB2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tbl>
      <w:tblPr>
        <w:tblW w:w="0" w:type="auto"/>
        <w:tblInd w:w="142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536"/>
        <w:gridCol w:w="4394"/>
      </w:tblGrid>
      <w:tr w:rsidR="00DF7EB2" w:rsidRPr="00DF7EB2" w14:paraId="7AF063F0" w14:textId="77777777" w:rsidTr="00D47F47">
        <w:trPr>
          <w:trHeight w:val="493"/>
        </w:trPr>
        <w:tc>
          <w:tcPr>
            <w:tcW w:w="4536" w:type="dxa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43223343" w14:textId="77777777" w:rsidR="00DF7EB2" w:rsidRPr="00DF7EB2" w:rsidRDefault="00DF7EB2" w:rsidP="00DF7EB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DF7E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Факультет</w:t>
            </w:r>
          </w:p>
          <w:p w14:paraId="1215772C" w14:textId="77777777" w:rsidR="00DF7EB2" w:rsidRPr="00DF7EB2" w:rsidRDefault="00DF7EB2" w:rsidP="00DF7EB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DF7E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инженерный химико-технологический</w:t>
            </w:r>
          </w:p>
        </w:tc>
        <w:tc>
          <w:tcPr>
            <w:tcW w:w="4394" w:type="dxa"/>
            <w:tcMar>
              <w:top w:w="0" w:type="dxa"/>
              <w:left w:w="115" w:type="dxa"/>
              <w:bottom w:w="0" w:type="dxa"/>
              <w:right w:w="115" w:type="dxa"/>
            </w:tcMar>
            <w:vAlign w:val="center"/>
            <w:hideMark/>
          </w:tcPr>
          <w:p w14:paraId="5C8980B0" w14:textId="77777777" w:rsidR="00DF7EB2" w:rsidRPr="00DF7EB2" w:rsidRDefault="00DF7EB2" w:rsidP="00DF7EB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DF7E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Кафедра</w:t>
            </w:r>
          </w:p>
          <w:p w14:paraId="221AD880" w14:textId="77777777" w:rsidR="00DF7EB2" w:rsidRPr="00DF7EB2" w:rsidRDefault="00DF7EB2" w:rsidP="00DF7EB2">
            <w:pPr>
              <w:spacing w:after="0" w:line="240" w:lineRule="auto"/>
              <w:jc w:val="center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DF7E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техносферной безопасности</w:t>
            </w:r>
          </w:p>
        </w:tc>
      </w:tr>
    </w:tbl>
    <w:p w14:paraId="7336EC4A" w14:textId="77777777" w:rsidR="00DF7EB2" w:rsidRPr="00DF7EB2" w:rsidRDefault="00DF7EB2" w:rsidP="00DF7EB2">
      <w:pPr>
        <w:spacing w:before="360" w:after="24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F7EB2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Отчёт</w:t>
      </w:r>
    </w:p>
    <w:p w14:paraId="1D13C7B3" w14:textId="77777777" w:rsidR="00DF7EB2" w:rsidRPr="00DF7EB2" w:rsidRDefault="00DF7EB2" w:rsidP="00DF7EB2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F7EB2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по производственной практике</w:t>
      </w:r>
    </w:p>
    <w:p w14:paraId="1AE0D866" w14:textId="71009EE8" w:rsidR="00DF7EB2" w:rsidRPr="00DF7EB2" w:rsidRDefault="00DF7EB2" w:rsidP="00DF7EB2">
      <w:pPr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 w:rsidRPr="00DF7EB2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студентки группы И-34</w:t>
        <w:br/>
        <w:t>Виноградова Мария Евгеньевна</w:t>
      </w:r>
      <w:r w:rsidRPr="00DF7EB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shd w:val="clear" w:color="auto" w:fill="FFFF00"/>
          <w:lang w:eastAsia="ru-RU"/>
          <w14:ligatures w14:val="none"/>
        </w:rPr>
      </w:r>
      <w:r w:rsidRPr="00DF7EB2">
        <w:rPr>
          <w:rFonts w:ascii="Times New Roman" w:eastAsia="Times New Roman" w:hAnsi="Times New Roman" w:cs="Times New Roman"/>
          <w:b/>
          <w:bCs/>
          <w:color w:val="000000" w:themeColor="text1"/>
          <w:kern w:val="0"/>
          <w:sz w:val="28"/>
          <w:szCs w:val="28"/>
          <w:lang w:eastAsia="ru-RU"/>
          <w14:ligatures w14:val="none"/>
        </w:rPr>
      </w:r>
    </w:p>
    <w:p w14:paraId="3EDA87A3" w14:textId="156729E2" w:rsidR="00DF7EB2" w:rsidRPr="00DF7EB2" w:rsidRDefault="00DF7EB2" w:rsidP="00142EA1">
      <w:pPr>
        <w:tabs>
          <w:tab w:val="left" w:pos="5157"/>
        </w:tabs>
        <w:spacing w:before="240"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 w:rsidRPr="00DF7EB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br/>
        <w:t>Направление подготовки 20.03.01 Техносферная безопасность</w:t>
      </w:r>
    </w:p>
    <w:p w14:paraId="60925619" w14:textId="77777777" w:rsidR="00DF7EB2" w:rsidRPr="00DF7EB2" w:rsidRDefault="00DF7EB2" w:rsidP="00DF7EB2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F7EB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Место прохождения практики:</w:t>
      </w:r>
    </w:p>
    <w:p w14:paraId="68FDEDC6" w14:textId="77777777" w:rsidR="00DF7EB2" w:rsidRPr="00DF7EB2" w:rsidRDefault="00DF7EB2" w:rsidP="00DF7EB2">
      <w:pPr>
        <w:spacing w:after="0" w:line="240" w:lineRule="auto"/>
        <w:jc w:val="center"/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</w:pPr>
      <w:r w:rsidRPr="00DF7EB2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ООО «НПП Рогнеда»</w:t>
      </w:r>
    </w:p>
    <w:p w14:paraId="7097A5F6" w14:textId="77777777" w:rsidR="00DF7EB2" w:rsidRPr="00DF7EB2" w:rsidRDefault="00DF7EB2" w:rsidP="00DF7EB2">
      <w:pPr>
        <w:spacing w:after="0" w:line="240" w:lineRule="auto"/>
        <w:jc w:val="center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253"/>
        <w:gridCol w:w="5102"/>
      </w:tblGrid>
      <w:tr w:rsidR="00DF7EB2" w:rsidRPr="00DF7EB2" w14:paraId="18FBC7BD" w14:textId="77777777" w:rsidTr="00D47F47">
        <w:trPr>
          <w:trHeight w:val="870"/>
        </w:trPr>
        <w:tc>
          <w:tcPr>
            <w:tcW w:w="4253" w:type="dxa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04C6B0D4" w14:textId="77777777" w:rsidR="00DF7EB2" w:rsidRPr="00DF7EB2" w:rsidRDefault="00DF7EB2" w:rsidP="00DF7EB2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DF7E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Студентка:</w:t>
            </w:r>
          </w:p>
        </w:tc>
        <w:tc>
          <w:tcPr>
            <w:tcW w:w="5102" w:type="dxa"/>
            <w:tcMar>
              <w:top w:w="0" w:type="dxa"/>
              <w:left w:w="115" w:type="dxa"/>
              <w:bottom w:w="0" w:type="dxa"/>
              <w:right w:w="115" w:type="dxa"/>
            </w:tcMar>
            <w:hideMark/>
          </w:tcPr>
          <w:p w14:paraId="557A5C34" w14:textId="77777777" w:rsidR="00DF7EB2" w:rsidRPr="00DF7EB2" w:rsidRDefault="00DF7EB2" w:rsidP="00DF7EB2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DF7E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________     ________/ ___________/</w:t>
            </w:r>
          </w:p>
          <w:p w14:paraId="523010A7" w14:textId="77777777" w:rsidR="00DF7EB2" w:rsidRPr="00DF7EB2" w:rsidRDefault="00DF7EB2" w:rsidP="00DF7EB2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DF7EB2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(дата)              (подпись)</w:t>
            </w:r>
          </w:p>
        </w:tc>
      </w:tr>
      <w:tr w:rsidR="00DF7EB2" w:rsidRPr="00DF7EB2" w14:paraId="51D88338" w14:textId="77777777" w:rsidTr="00D47F47">
        <w:trPr>
          <w:trHeight w:val="855"/>
        </w:trPr>
        <w:tc>
          <w:tcPr>
            <w:tcW w:w="425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E2A54D0" w14:textId="77777777" w:rsidR="00DF7EB2" w:rsidRPr="00DF7EB2" w:rsidRDefault="00DF7EB2" w:rsidP="00DF7EB2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DF7E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Руководитель практики от организации</w:t>
            </w:r>
            <w:r w:rsidRPr="00DF7E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val="en-US" w:eastAsia="ru-RU"/>
                <w14:ligatures w14:val="none"/>
              </w:rPr>
              <w:t>:</w:t>
            </w:r>
          </w:p>
        </w:tc>
        <w:tc>
          <w:tcPr>
            <w:tcW w:w="5102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0904570E" w14:textId="77777777" w:rsidR="00DF7EB2" w:rsidRPr="00DF7EB2" w:rsidRDefault="00DF7EB2" w:rsidP="00DF7EB2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DF7E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________     ________/Благодарова С.П./</w:t>
            </w:r>
          </w:p>
          <w:p w14:paraId="068C5D00" w14:textId="77777777" w:rsidR="00DF7EB2" w:rsidRPr="00DF7EB2" w:rsidRDefault="00DF7EB2" w:rsidP="00DF7EB2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</w:pPr>
            <w:r w:rsidRPr="00DF7EB2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(дата)              (подпись)</w:t>
            </w:r>
          </w:p>
        </w:tc>
      </w:tr>
      <w:tr w:rsidR="00DF7EB2" w:rsidRPr="00DF7EB2" w14:paraId="1CF59B75" w14:textId="77777777" w:rsidTr="00D47F47">
        <w:trPr>
          <w:trHeight w:val="855"/>
        </w:trPr>
        <w:tc>
          <w:tcPr>
            <w:tcW w:w="4253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A2EDA59" w14:textId="77777777" w:rsidR="00DF7EB2" w:rsidRPr="00DF7EB2" w:rsidRDefault="00DF7EB2" w:rsidP="00DF7EB2">
            <w:pPr>
              <w:spacing w:line="240" w:lineRule="auto"/>
              <w:jc w:val="right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DF7E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Руководитель практики от университета:</w:t>
            </w:r>
          </w:p>
        </w:tc>
        <w:tc>
          <w:tcPr>
            <w:tcW w:w="5102" w:type="dxa"/>
            <w:tcMar>
              <w:top w:w="0" w:type="dxa"/>
              <w:left w:w="115" w:type="dxa"/>
              <w:bottom w:w="0" w:type="dxa"/>
              <w:right w:w="115" w:type="dxa"/>
            </w:tcMar>
          </w:tcPr>
          <w:p w14:paraId="727B94D2" w14:textId="77777777" w:rsidR="00DF7EB2" w:rsidRPr="00DF7EB2" w:rsidRDefault="00DF7EB2" w:rsidP="00DF7EB2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DF7EB2"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  <w:t>________     ________/Мельников Н.О./</w:t>
            </w:r>
          </w:p>
          <w:p w14:paraId="0A092C4F" w14:textId="77777777" w:rsidR="00DF7EB2" w:rsidRPr="00DF7EB2" w:rsidRDefault="00DF7EB2" w:rsidP="00DF7EB2">
            <w:pPr>
              <w:spacing w:line="240" w:lineRule="auto"/>
              <w:jc w:val="both"/>
              <w:rPr>
                <w:rFonts w:ascii="Times New Roman" w:eastAsia="Times New Roman" w:hAnsi="Times New Roman" w:cs="Times New Roman"/>
                <w:color w:val="000000"/>
                <w:kern w:val="0"/>
                <w:sz w:val="28"/>
                <w:szCs w:val="28"/>
                <w:lang w:eastAsia="ru-RU"/>
                <w14:ligatures w14:val="none"/>
              </w:rPr>
            </w:pPr>
            <w:r w:rsidRPr="00DF7EB2">
              <w:rPr>
                <w:rFonts w:ascii="Times New Roman" w:eastAsia="Times New Roman" w:hAnsi="Times New Roman" w:cs="Times New Roman"/>
                <w:kern w:val="0"/>
                <w:lang w:eastAsia="ru-RU"/>
                <w14:ligatures w14:val="none"/>
              </w:rPr>
              <w:t>(дата)              (подпись)</w:t>
            </w:r>
          </w:p>
        </w:tc>
      </w:tr>
    </w:tbl>
    <w:p w14:paraId="1559994B" w14:textId="77777777" w:rsidR="00DF7EB2" w:rsidRPr="00DF7EB2" w:rsidRDefault="00DF7EB2" w:rsidP="00DF7EB2">
      <w:pPr>
        <w:spacing w:after="0" w:line="240" w:lineRule="auto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295A9828" w14:textId="77777777" w:rsidR="00DF7EB2" w:rsidRPr="00DF7EB2" w:rsidRDefault="00DF7EB2" w:rsidP="00DF7EB2">
      <w:pPr>
        <w:spacing w:after="0" w:line="240" w:lineRule="auto"/>
        <w:jc w:val="right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</w:p>
    <w:p w14:paraId="138BFC11" w14:textId="77777777" w:rsidR="00DF7EB2" w:rsidRPr="00DF7EB2" w:rsidRDefault="00DF7EB2" w:rsidP="00DF7EB2">
      <w:pPr>
        <w:spacing w:line="240" w:lineRule="auto"/>
        <w:jc w:val="right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DF7EB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Оценка за пройденную практику </w:t>
      </w:r>
    </w:p>
    <w:p w14:paraId="7C51E13A" w14:textId="77777777" w:rsidR="00DF7EB2" w:rsidRPr="00DF7EB2" w:rsidRDefault="00DF7EB2" w:rsidP="00DF7EB2">
      <w:pPr>
        <w:spacing w:line="240" w:lineRule="auto"/>
        <w:jc w:val="right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DF7EB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по результатам защиты отчета: </w:t>
      </w:r>
    </w:p>
    <w:p w14:paraId="6C3A7217" w14:textId="77777777" w:rsidR="00DF7EB2" w:rsidRPr="00DF7EB2" w:rsidRDefault="00DF7EB2" w:rsidP="00DF7EB2">
      <w:pPr>
        <w:spacing w:line="240" w:lineRule="auto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1937DEA9" w14:textId="77777777" w:rsidR="00DF7EB2" w:rsidRPr="00DF7EB2" w:rsidRDefault="00DF7EB2" w:rsidP="00DF7EB2">
      <w:pPr>
        <w:spacing w:line="240" w:lineRule="auto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0F65A814" w14:textId="77777777" w:rsidR="00DF7EB2" w:rsidRPr="00DF7EB2" w:rsidRDefault="00DF7EB2" w:rsidP="00DF7EB2">
      <w:pPr>
        <w:spacing w:line="240" w:lineRule="auto"/>
        <w:jc w:val="right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  <w:r w:rsidRPr="00DF7EB2">
        <w:rPr>
          <w:rFonts w:ascii="Times New Roman" w:eastAsia="Times New Roman" w:hAnsi="Times New Roman" w:cs="Times New Roman"/>
          <w:b/>
          <w:bCs/>
          <w:color w:val="000000"/>
          <w:kern w:val="0"/>
          <w:sz w:val="28"/>
          <w:szCs w:val="28"/>
          <w:lang w:eastAsia="ru-RU"/>
          <w14:ligatures w14:val="none"/>
        </w:rPr>
        <w:t>«___»___________</w:t>
      </w:r>
      <w:r w:rsidRPr="00DF7EB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2026 г.</w:t>
      </w:r>
    </w:p>
    <w:p w14:paraId="49EDC0F6" w14:textId="77777777" w:rsidR="00DF7EB2" w:rsidRPr="00DF7EB2" w:rsidRDefault="00DF7EB2" w:rsidP="00DF7EB2">
      <w:pPr>
        <w:spacing w:line="240" w:lineRule="auto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411071F6" w14:textId="77777777" w:rsidR="00DF7EB2" w:rsidRPr="00DF7EB2" w:rsidRDefault="00DF7EB2" w:rsidP="00DF7EB2">
      <w:pPr>
        <w:spacing w:line="240" w:lineRule="auto"/>
        <w:jc w:val="both"/>
        <w:rPr>
          <w:rFonts w:ascii="Times New Roman" w:eastAsia="Times New Roman" w:hAnsi="Times New Roman" w:cs="Times New Roman"/>
          <w:kern w:val="0"/>
          <w:lang w:eastAsia="ru-RU"/>
          <w14:ligatures w14:val="none"/>
        </w:rPr>
      </w:pPr>
    </w:p>
    <w:p w14:paraId="5BFDE92F" w14:textId="44A054E0" w:rsidR="002F1E6C" w:rsidRDefault="00DF7EB2" w:rsidP="002F1E6C">
      <w:pPr>
        <w:spacing w:line="240" w:lineRule="auto"/>
        <w:jc w:val="center"/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</w:pPr>
      <w:r w:rsidRPr="00DF7EB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Москва</w:t>
      </w:r>
      <w:r w:rsidR="008B71A0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>,</w:t>
      </w:r>
      <w:bookmarkStart w:id="0" w:name="_GoBack"/>
      <w:bookmarkEnd w:id="0"/>
      <w:r w:rsidRPr="00DF7EB2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t xml:space="preserve"> 2026</w:t>
      </w:r>
      <w:r w:rsidR="002F1E6C">
        <w:rPr>
          <w:rFonts w:ascii="Times New Roman" w:eastAsia="Times New Roman" w:hAnsi="Times New Roman" w:cs="Times New Roman"/>
          <w:color w:val="000000"/>
          <w:kern w:val="0"/>
          <w:sz w:val="28"/>
          <w:szCs w:val="28"/>
          <w:lang w:eastAsia="ru-RU"/>
          <w14:ligatures w14:val="none"/>
        </w:rPr>
        <w:br w:type="page"/>
      </w:r>
    </w:p>
    <w:p>
      <w:r>
        <w:br w:type="page"/>
      </w:r>
    </w:p>
    <w:p>
      <w:pPr>
        <w:spacing w:before="240" w:after="12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sz w:val="28"/>
        </w:rPr>
        <w:t>СОДЕРЖАНИЕ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 w:cs="Times New Roman"/>
          <w:sz w:val="28"/>
        </w:rPr>
        <w:t>ВВЕДЕНИЕ ............................................................. 3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 w:cs="Times New Roman"/>
          <w:sz w:val="28"/>
        </w:rPr>
        <w:t>1. Краткая история и описание предприятия ООО «НПП Рогнеда» .......... 4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 w:cs="Times New Roman"/>
          <w:sz w:val="28"/>
        </w:rPr>
        <w:t>2. Система управления охраной труда и промышленной безопасностью ..... 5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 w:cs="Times New Roman"/>
          <w:sz w:val="28"/>
        </w:rPr>
        <w:t>2.1. Составные элементы системы ...................................... 5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 w:cs="Times New Roman"/>
          <w:sz w:val="28"/>
        </w:rPr>
        <w:t>2.2. Виды инструктажей, цели и сроки проведения ...................... 6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 w:cs="Times New Roman"/>
          <w:sz w:val="28"/>
        </w:rPr>
        <w:t>2.3. Причины травматизма, аварий, пожаров и план ликвидации аварий ... 7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 w:cs="Times New Roman"/>
          <w:sz w:val="28"/>
        </w:rPr>
        <w:t>2.4. Оценка экономического ущерба от травматизма и аварий ............ 8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 w:cs="Times New Roman"/>
          <w:sz w:val="28"/>
        </w:rPr>
        <w:t>3. Характеристика изучаемого цеха (отделения) ........................ 9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 w:cs="Times New Roman"/>
          <w:sz w:val="28"/>
        </w:rPr>
        <w:t>3.1. Составные части цеха ............................................ 9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 w:cs="Times New Roman"/>
          <w:sz w:val="28"/>
        </w:rPr>
        <w:t>3.2. Исходное сырьё и источники его получения ........................ 9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 w:cs="Times New Roman"/>
          <w:sz w:val="28"/>
        </w:rPr>
        <w:t>3.3. Выпускаемая продукция и её характеристики ...................... 10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 w:cs="Times New Roman"/>
          <w:sz w:val="28"/>
        </w:rPr>
        <w:t>3.4. Основные правила техники безопасности в цехе ................... 10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 w:cs="Times New Roman"/>
          <w:sz w:val="28"/>
        </w:rPr>
        <w:t>4. Технологическая схема и разделы технологического регламента ...... 11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 w:cs="Times New Roman"/>
          <w:sz w:val="28"/>
        </w:rPr>
        <w:t>5. Порядок освидетельствования, приёма и сдачи оборудования ......... 13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 w:cs="Times New Roman"/>
          <w:sz w:val="28"/>
        </w:rPr>
        <w:t>6. Анализ предписаний органов государственного надзора и контроля ... 14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 w:cs="Times New Roman"/>
          <w:sz w:val="28"/>
        </w:rPr>
        <w:t>7. Результаты специальной оценки условий труда и план мероприятий ... 15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 w:cs="Times New Roman"/>
          <w:sz w:val="28"/>
        </w:rPr>
        <w:t>8. Работа, выполненная по индивидуальному заданию ................... 16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 w:cs="Times New Roman"/>
          <w:sz w:val="28"/>
        </w:rPr>
        <w:t>9. Основные экономические показатели предприятия .................... 18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 w:cs="Times New Roman"/>
          <w:sz w:val="28"/>
        </w:rPr>
        <w:t>ЗАКЛЮЧЕНИЕ .......................................................... 19</w:t>
      </w:r>
    </w:p>
    <w:p>
      <w:pPr>
        <w:spacing w:line="360" w:lineRule="auto" w:after="0"/>
        <w:ind w:firstLine="0"/>
      </w:pPr>
      <w:r>
        <w:rPr>
          <w:rFonts w:ascii="Times New Roman" w:hAnsi="Times New Roman" w:eastAsia="Times New Roman" w:cs="Times New Roman"/>
          <w:sz w:val="28"/>
        </w:rPr>
        <w:t>СПИСОК ИСПОЛЬЗОВАННЫХ ИСТОЧНИКОВ .................................... 20</w:t>
      </w:r>
    </w:p>
    <w:p>
      <w:r>
        <w:br w:type="page"/>
      </w:r>
    </w:p>
    <w:p>
      <w:pPr>
        <w:spacing w:before="240" w:after="12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sz w:val="28"/>
        </w:rPr>
        <w:t>ВВЕДЕНИЕ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Вид практики: вторая производственная практика.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База практики: Общество с ограниченной ответственностью «Научно-производственное предприятие Рогнеда» (ООО «НПП Рогнеда»), производственная площадка в г. Старая Купавна, Московская область.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Продолжительность практики: в соответствии с учебным планом направления 20.03.01 «Техносферная безопасность» (группа И-34); выход на предприятие — 29 июня 2026 г. Примерный объём учебной нагрузки по программе — 12 рабочих дней (табл. 3 пособия по практикам бакалавров ТСБ).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Цель производственной практики — ознакомление с производственным предприятием и работой его подразделений, обеспечивающих безопасные условия труда.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В результате прохождения практики необходимо было научиться оценивать степень опасности предприятия, анализировать безопасность ведения технологического процесса, прогнозировать аварийную ситуацию, анализировать и оценивать степень опасности воздействия опасных и вредных производственных факторов, а также изучить безопасное ведение химико-технологических процессов и современные методы управления охраной труда и промышленной безопасностью.</w:t>
      </w:r>
    </w:p>
    <w:p>
      <w:pPr>
        <w:spacing w:after="120" w:before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Задачи практики:</w:t>
      </w:r>
    </w:p>
    <w:p>
      <w:pPr>
        <w:pStyle w:val="a7"/>
        <w:spacing w:after="60" w:line="360" w:lineRule="auto"/>
        <w:jc w:val="both"/>
      </w:pPr>
      <w:r>
        <w:rPr>
          <w:rFonts w:ascii="Times New Roman" w:hAnsi="Times New Roman" w:eastAsia="Times New Roman" w:cs="Times New Roman"/>
          <w:sz w:val="28"/>
        </w:rPr>
        <w:t>ознакомиться с программой практики, пройти инструктаж по технике безопасности и получить общее представление о предприятии;</w:t>
      </w:r>
    </w:p>
    <w:p>
      <w:pPr>
        <w:pStyle w:val="a7"/>
        <w:spacing w:after="60" w:line="360" w:lineRule="auto"/>
        <w:jc w:val="both"/>
      </w:pPr>
      <w:r>
        <w:rPr>
          <w:rFonts w:ascii="Times New Roman" w:hAnsi="Times New Roman" w:eastAsia="Times New Roman" w:cs="Times New Roman"/>
          <w:sz w:val="28"/>
        </w:rPr>
        <w:t>изучить систему государственного надзора и контроля, а также общественного контроля в области охраны труда и промышленной безопасности;</w:t>
      </w:r>
    </w:p>
    <w:p>
      <w:pPr>
        <w:pStyle w:val="a7"/>
        <w:spacing w:after="60" w:line="360" w:lineRule="auto"/>
        <w:jc w:val="both"/>
      </w:pPr>
      <w:r>
        <w:rPr>
          <w:rFonts w:ascii="Times New Roman" w:hAnsi="Times New Roman" w:eastAsia="Times New Roman" w:cs="Times New Roman"/>
          <w:sz w:val="28"/>
        </w:rPr>
        <w:t>изучить систему управления охраной труда и промышленной безопасностью на предприятии;</w:t>
      </w:r>
    </w:p>
    <w:p>
      <w:pPr>
        <w:pStyle w:val="a7"/>
        <w:spacing w:after="60" w:line="360" w:lineRule="auto"/>
        <w:jc w:val="both"/>
      </w:pPr>
      <w:r>
        <w:rPr>
          <w:rFonts w:ascii="Times New Roman" w:hAnsi="Times New Roman" w:eastAsia="Times New Roman" w:cs="Times New Roman"/>
          <w:sz w:val="28"/>
        </w:rPr>
        <w:t>освоить порядок инструктажей и обучения безопасным приёмам работы;</w:t>
      </w:r>
    </w:p>
    <w:p>
      <w:pPr>
        <w:pStyle w:val="a7"/>
        <w:spacing w:after="60" w:line="360" w:lineRule="auto"/>
        <w:jc w:val="both"/>
      </w:pPr>
      <w:r>
        <w:rPr>
          <w:rFonts w:ascii="Times New Roman" w:hAnsi="Times New Roman" w:eastAsia="Times New Roman" w:cs="Times New Roman"/>
          <w:sz w:val="28"/>
        </w:rPr>
        <w:t>проанализировать причины травматизма, аварий и пожаров, а также технические методы и средства защиты персонала;</w:t>
      </w:r>
    </w:p>
    <w:p>
      <w:pPr>
        <w:pStyle w:val="a7"/>
        <w:spacing w:after="60" w:line="360" w:lineRule="auto"/>
        <w:jc w:val="both"/>
      </w:pPr>
      <w:r>
        <w:rPr>
          <w:rFonts w:ascii="Times New Roman" w:hAnsi="Times New Roman" w:eastAsia="Times New Roman" w:cs="Times New Roman"/>
          <w:sz w:val="28"/>
        </w:rPr>
        <w:t>изучить технологический регламент цеха (отделения) как основу безопасного ведения процесса;</w:t>
      </w:r>
    </w:p>
    <w:p>
      <w:pPr>
        <w:pStyle w:val="a7"/>
        <w:spacing w:after="60" w:line="360" w:lineRule="auto"/>
        <w:jc w:val="both"/>
      </w:pPr>
      <w:r>
        <w:rPr>
          <w:rFonts w:ascii="Times New Roman" w:hAnsi="Times New Roman" w:eastAsia="Times New Roman" w:cs="Times New Roman"/>
          <w:sz w:val="28"/>
        </w:rPr>
        <w:t>ознакомиться с порядком освидетельствования, приёма и сдачи оборудования;</w:t>
      </w:r>
    </w:p>
    <w:p>
      <w:pPr>
        <w:pStyle w:val="a7"/>
        <w:spacing w:after="60" w:line="360" w:lineRule="auto"/>
        <w:jc w:val="both"/>
      </w:pPr>
      <w:r>
        <w:rPr>
          <w:rFonts w:ascii="Times New Roman" w:hAnsi="Times New Roman" w:eastAsia="Times New Roman" w:cs="Times New Roman"/>
          <w:sz w:val="28"/>
        </w:rPr>
        <w:t>изучить результаты специальной оценки условий труда (СОУТ) и план мероприятий по улучшению условий труда;</w:t>
      </w:r>
    </w:p>
    <w:p>
      <w:pPr>
        <w:pStyle w:val="a7"/>
        <w:spacing w:after="60" w:line="360" w:lineRule="auto"/>
        <w:jc w:val="both"/>
      </w:pPr>
      <w:r>
        <w:rPr>
          <w:rFonts w:ascii="Times New Roman" w:hAnsi="Times New Roman" w:eastAsia="Times New Roman" w:cs="Times New Roman"/>
          <w:sz w:val="28"/>
        </w:rPr>
        <w:t>выполнить индивидуальное задание и оформить отчёт.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Индивидуальное задание: «Анализ пожаровзрывоопасности органического цеха ООО «НПП Рогнеда» и оценка достаточности инженерно-технических и организационных мер защиты персонала».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В ходе практики проведены ознакомительные экскурсии по водопримессионному и органическому цехам, лаборатории, складу сырья и готовой продукции, а также беседы со специалистами службы охраны труда и промышленной безопасности.</w:t>
      </w:r>
    </w:p>
    <w:p>
      <w:pPr>
        <w:spacing w:after="120" w:before="16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/>
          <w:sz w:val="28"/>
        </w:rPr>
        <w:t>Календарный план прохождения практики (по программе 2-й производственной практики):</w:t>
      </w:r>
    </w:p>
    <w:tbl>
      <w:tblPr>
        <w:tblStyle w:val="af5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2"/>
              </w:rPr>
              <w:t>№ п/п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2"/>
              </w:rPr>
              <w:t>Содержание практики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2"/>
              </w:rPr>
              <w:t>Рабочие дни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2"/>
              </w:rPr>
              <w:t>1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2"/>
              </w:rPr>
              <w:t>Ознакомление с программой практики. Инструктаж по технике безопасности. Общее ознакомление с предприятием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2"/>
              </w:rPr>
              <w:t>1 день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2"/>
              </w:rPr>
              <w:t>2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2"/>
              </w:rPr>
              <w:t>Ознакомление с системой государственного надзора и контроля, с системой общественного контроля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2"/>
              </w:rPr>
              <w:t>1 день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2"/>
              </w:rPr>
              <w:t>3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2"/>
              </w:rPr>
              <w:t>Изучение системы управления охраной труда и промышленной безопасностью на предприятии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2"/>
              </w:rPr>
              <w:t>1 день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2"/>
              </w:rPr>
              <w:t>4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2"/>
              </w:rPr>
              <w:t>Инструктаж и обучение безопасным приёмам работы на предприятии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2"/>
              </w:rPr>
              <w:t>1 день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2"/>
              </w:rPr>
              <w:t>5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2"/>
              </w:rPr>
              <w:t>Изучение причин травматизма, аварий и пожаров; технических методов и средств защиты персонала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2"/>
              </w:rPr>
              <w:t>2 дня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2"/>
              </w:rPr>
              <w:t>6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2"/>
              </w:rPr>
              <w:t>Изучение технологического регламента цеха (отделения)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2"/>
              </w:rPr>
              <w:t>2 дня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2"/>
              </w:rPr>
              <w:t>7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2"/>
              </w:rPr>
              <w:t>Ознакомление с порядком освидетельствования, приёмом и сдачей оборудования и установок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2"/>
              </w:rPr>
              <w:t>1 день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2"/>
              </w:rPr>
              <w:t>8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2"/>
              </w:rPr>
              <w:t>Ознакомление с результатами СОУТ и планом мероприятий по улучшению условий труда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2"/>
              </w:rPr>
              <w:t>2 дня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2"/>
              </w:rPr>
              <w:t>9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2"/>
              </w:rPr>
              <w:t>Защита отчёта. Зачёт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2"/>
              </w:rPr>
              <w:t>1 день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2"/>
              </w:rPr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2"/>
              </w:rPr>
              <w:t>ИТОГО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2"/>
              </w:rPr>
              <w:t>12 рабочих дней</w:t>
            </w:r>
          </w:p>
        </w:tc>
      </w:tr>
    </w:tbl>
    <w:p>
      <w:pPr>
        <w:spacing w:before="240" w:after="12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sz w:val="28"/>
        </w:rPr>
        <w:t>1. Краткая история и описание предприятия ООО «НПП Рогнеда»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Компания ведёт историю с 1992 года, когда была создана как научно-производственное предприятие. Первые продукты — контактные клеи и огнебиозащитный состав «КСД» — заложили основу ассортимента. В 1994 году появился состав «Акватекс», ставший одним из ключевых продуктов в сегменте защитно-декоративных покрытий для древесины.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В 2007 году началось строительство новой производственной площадки в г. Старая Купавна (Московская область). В 2014 году юридическое лицо зарегистрировано как ООО «НПП РОГНЕДА»; основной вид деятельности — производство красок и лаков на основе полимеров. По данным за 2025 год выручка составила около 6,3 млрд руб., чистая прибыль — порядка 569,5 млн руб., численность персонала — около 280 человек.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Сегодня предприятие представляет собой производственно-складской комплекс с собственной научной базой и автоматизированным оборудованием. Портфель брендов включает «Акватекс», «Eurotex», «WoodMaster», «Dali», «ECOSEPT» и другие линейки для защиты древесины, металла, бетона и кирпича.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Основной объём производства сосредоточен в трёхэтажном корпусе с вертикальной (каскадной) схемой логистики: сырьё и полупродукты перемещаются сверху вниз. На 3-м этаже — органическое отделение и хранение компонентов; на 2-м — отделение водно-дисперсионных красок (ВДК); на 1-м — фасовка, упаковка и отгрузка. Водопримессионный цех относится к пожароопасным объектам, органический — к взрывопожароопасным из-за обращения летучих органических растворителей.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Вывод по разделу 1. ООО «НПП Рогнеда» — современное предприятие лакокрасочной отрасли с выраженной пожаровзрывоопасной спецификой отдельных участков; организация производства и структура цехов требуют системного подхода к охране труда и промышленной безопасности.</w:t>
      </w:r>
    </w:p>
    <w:p>
      <w:pPr>
        <w:spacing w:before="240" w:after="12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sz w:val="28"/>
        </w:rPr>
        <w:t>2. Система управления охраной труда и промышленной безопасностью</w:t>
      </w:r>
    </w:p>
    <w:p>
      <w:pPr>
        <w:spacing w:before="160" w:after="12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sz w:val="28"/>
        </w:rPr>
        <w:t>2.1. Составные элементы системы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Система управления охраной труда (СУОТ) и промышленной безопасностью на предприятии построена как многоуровневый комплекс. Генеральный директор осуществляет общее руководство, утверждает политику в области охраны труда, распределяет ответственность и ресурсы. Отдел охраны труда и промышленной безопасности координирует инструктажи и обучение, контролирует соблюдение норм, организует СОУТ и оценку рисков, участвует в расследовании происшествий, ведёт документацию и взаимодействует с надзорными органами.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Руководители цехов (участков) отвечают за состояние охраны труда на местах, проводят инструктажи, контролируют применение СИЗ и соблюдение инструкций. Служба пожарной безопасности обеспечивает противопожарный режим, планы эвакуации, тренировки и работоспособность систем пожарной защиты. Научно-технический центр и лаборатории контролируют безопасность технологических процессов и внедряют решения, снижающие риски. На оперативном уровне ключевую роль играют главный инженер-технолог (контроль регламента) и аппаратчики 3–6 разряда (ведение процесса и журналов).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Основные задачи системы: обеспечение безопасности процессов и оборудования; предупреждение травматизма, аварий и профзаболеваний; снижение профессиональных рисков; подготовка к проверкам надзорных органов. Функции включают проверки состояния промышленной безопасности, обучение и проверку знаний, оценку рисков, расследование инцидентов и разработку планов улучшения условий труда.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Вывод по п. 2.1. На предприятии распределены функции управления ОТ и ПБ между руководством, службой ОТ, цеховым уровнем и пожарной службой, что соответствует требованиям системного подхода к обеспечению безопасности.</w:t>
      </w:r>
    </w:p>
    <w:p>
      <w:pPr>
        <w:spacing w:before="160" w:after="12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sz w:val="28"/>
        </w:rPr>
        <w:t>2.2. Виды инструктажей, цели и сроки проведения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Обучение безопасным приёмам работы носит обязательный характер. Каждый инструктаж фиксируется в журнале. Характеристика видов инструктажей:</w:t>
      </w:r>
    </w:p>
    <w:tbl>
      <w:tblPr>
        <w:tblStyle w:val="af5"/>
        <w:tblW w:type="auto" w:w="0"/>
        <w:tblLook w:firstColumn="1" w:firstRow="1" w:lastColumn="0" w:lastRow="0" w:noHBand="0" w:noVBand="1" w:val="04A0"/>
      </w:tblPr>
      <w:tblGrid>
        <w:gridCol w:w="3118"/>
        <w:gridCol w:w="3118"/>
        <w:gridCol w:w="3118"/>
      </w:tblGrid>
      <w:tr>
        <w:tc>
          <w:tcPr>
            <w:tcW w:type="dxa" w:w="3118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2"/>
              </w:rPr>
              <w:t>Вид инструктажа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2"/>
              </w:rPr>
              <w:t>Цель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2"/>
              </w:rPr>
              <w:t>Сроки / условия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2"/>
              </w:rPr>
              <w:t>Вводный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2"/>
              </w:rPr>
              <w:t>Ознакомление с общими правилами ОТ, ПВТР, основными опасностями, правилами поведения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2"/>
              </w:rPr>
              <w:t>До начала работы / практики со всеми принимаемыми, командированными, практикантами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2"/>
              </w:rPr>
              <w:t>Первичный на рабочем месте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2"/>
              </w:rPr>
              <w:t>Ознакомление с ОВПФ на рабочем месте, безопасными приёмами, инструкциями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2"/>
              </w:rPr>
              <w:t>До начала самостоятельной работы; проводит непосредственный руководитель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2"/>
              </w:rPr>
              <w:t>Повторный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2"/>
              </w:rPr>
              <w:t>Закрепление знаний, профилактика травматизма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2"/>
              </w:rPr>
              <w:t>Не реже 1 раза в 6 месяцев; на взрывопожароопасных участках — чаще (как правило, ежеквартально)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2"/>
              </w:rPr>
              <w:t>Внеплановый (внеочередной)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2"/>
              </w:rPr>
              <w:t>Актуализация знаний при изменении НПА, технологии, оборудования, нарушениях, перерывах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2"/>
              </w:rPr>
              <w:t>По мере возникновения оснований</w:t>
            </w:r>
          </w:p>
        </w:tc>
      </w:tr>
      <w:tr>
        <w:tc>
          <w:tcPr>
            <w:tcW w:type="dxa" w:w="3118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2"/>
              </w:rPr>
              <w:t>Целевой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2"/>
              </w:rPr>
              <w:t>Безопасное выполнение разовых работ, работ по наряду-допуску, ликвидация последствий аварий</w:t>
            </w:r>
          </w:p>
        </w:tc>
        <w:tc>
          <w:tcPr>
            <w:tcW w:type="dxa" w:w="3118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2"/>
              </w:rPr>
              <w:t>Непосредственно перед выполнением конкретных работ</w:t>
            </w:r>
          </w:p>
        </w:tc>
      </w:tr>
    </w:tbl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Работы повышенной опасности (в том числе огневые) выполняются по наряду-допуску. В органическом цехе в условиях действующего производства огневые работы, как правило, запрещены из-за риска образования взрывоопасных паровоздушных смесей.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Вывод по п. 2.2. Система инструктажей охватывает все этапы допуска персонала к работам и учитывает повышенные требования к взрывопожароопасным участкам.</w:t>
      </w:r>
    </w:p>
    <w:p>
      <w:pPr>
        <w:spacing w:before="160" w:after="12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sz w:val="28"/>
        </w:rPr>
        <w:t>2.3. Причины травматизма, аварий, пожаров и план ликвидации аварий</w:t>
      </w:r>
    </w:p>
    <w:p>
      <w:pPr>
        <w:spacing w:after="120" w:before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Основные причины травматизма и аварий:</w:t>
      </w:r>
    </w:p>
    <w:p>
      <w:pPr>
        <w:pStyle w:val="a7"/>
        <w:spacing w:after="60" w:line="360" w:lineRule="auto"/>
        <w:jc w:val="both"/>
      </w:pPr>
      <w:r>
        <w:rPr>
          <w:rFonts w:ascii="Times New Roman" w:hAnsi="Times New Roman" w:eastAsia="Times New Roman" w:cs="Times New Roman"/>
          <w:sz w:val="28"/>
        </w:rPr>
        <w:t>технические — неисправность оборудования, разгерметизация трубопроводов и реакторов, отказ систем защиты, недостаточная эффективность вентиляции, износ уплотнений;</w:t>
      </w:r>
    </w:p>
    <w:p>
      <w:pPr>
        <w:pStyle w:val="a7"/>
        <w:spacing w:after="60" w:line="360" w:lineRule="auto"/>
        <w:jc w:val="both"/>
      </w:pPr>
      <w:r>
        <w:rPr>
          <w:rFonts w:ascii="Times New Roman" w:hAnsi="Times New Roman" w:eastAsia="Times New Roman" w:cs="Times New Roman"/>
          <w:sz w:val="28"/>
        </w:rPr>
        <w:t>организационные — нарушение технологического регламента, низкая квалификация, несвоевременный ремонт, недостаток СИЗ, игнорирование нарядов-допусков;</w:t>
      </w:r>
    </w:p>
    <w:p>
      <w:pPr>
        <w:pStyle w:val="a7"/>
        <w:spacing w:after="60" w:line="360" w:lineRule="auto"/>
        <w:jc w:val="both"/>
      </w:pPr>
      <w:r>
        <w:rPr>
          <w:rFonts w:ascii="Times New Roman" w:hAnsi="Times New Roman" w:eastAsia="Times New Roman" w:cs="Times New Roman"/>
          <w:sz w:val="28"/>
        </w:rPr>
        <w:t>личностные — нарушение инструкций, невнимательность, опасные приёмы работы.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Основные причины пожаров: нарушения при огневых работах; неисправности электрооборудования (КЗ, перегрузки); разряды статического электричества; самовозгорание промасленных материалов; неосторожное обращение с огнём.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План действий при аварии (ЧС) включает: обнаружение и оповещение; эвакуацию и спасение людей; локализацию аварии (отключение оборудования, вентиляция, пожаротушение); ликвидацию последствий и документирование. На предприятии имеются системы оповещения и управления эвакуацией (СОУЭ), спринклерное пожаротушение, первичные средства пожаротушения, зенитные фонари для дымоудаления.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Вывод по п. 2.3. Наиболее критичны риски, связанные с ЛВЖ/ГЖ и человеческим фактором; для их снижения сочетаются организационные процедуры и инженерные системы защиты.</w:t>
      </w:r>
    </w:p>
    <w:p>
      <w:pPr>
        <w:spacing w:before="160" w:after="12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sz w:val="28"/>
        </w:rPr>
        <w:t>2.4. Оценка экономического ущерба от травматизма и аварий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Экономический ущерб от инцидентов складывается из прямых потерь (медицинская помощь и реабилитация, страховые выплаты, стоимость повреждённого оборудования, сырья и продукции, восстановительные работы), косвенных потерь (оплата простоя, подбор персонала, внеплановые проверки, штрафы) и упущенной выгоды (остановка линий, срыв поставок, репутационные потери). Для органического цеха длительный простой особенно затратен из-за сложности повторного запуска и высокой стоимости простоя.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Вывод по п. 2.4. Профилактика аварий экономически оправдана: потенциальный совокупный ущерб существенно превышает затраты на поддержание систем безопасности и обучение персонала.</w:t>
      </w:r>
    </w:p>
    <w:p>
      <w:pPr>
        <w:spacing w:before="240" w:after="12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sz w:val="28"/>
        </w:rPr>
        <w:t>3. Характеристика изучаемого цеха (отделения)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В качестве объекта детального изучения рассматривались водопримессионный цех (ВДК) и органический цех производственного корпуса.</w:t>
      </w:r>
    </w:p>
    <w:p>
      <w:pPr>
        <w:spacing w:before="160" w:after="12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sz w:val="28"/>
        </w:rPr>
        <w:t>3.1. Составные части цеха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Типовая структура включает: участок приёмки и хранения сырья; отделение подготовки компонентов (очистка, взвешивание, дозирование); смесительное отделение (диспергирование и гомогенизация); участок очистки/регенерации растворителей; участок контроля качества; участок фасовки и упаковки; вспомогательные помещения и инженерные системы (теплообменники, охлаждение/нагрев, очистка воды, трубопроводы). В органическом цехе дополнительно эксплуатируются закрытые резервуары для ЛВЖ/ГЖ и мобильные технологические ёмкости (дежи).</w:t>
      </w:r>
    </w:p>
    <w:p>
      <w:pPr>
        <w:spacing w:before="160" w:after="12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sz w:val="28"/>
        </w:rPr>
        <w:t>3.2. Исходное сырьё и источники его получения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В состав продукции входят плёнкообразователи (синтетические и природные смолы, олифы, латексы, дисперсии); растворители и разбавители (органические растворители, вода); пигменты и наполнители (в том числе кальцит, тальк, диоксид титана); специальные добавки (пластификаторы, стабилизаторы, загустители, биоциды и др.); химикаты для огнезащитных и гидроизоляционных составов. Для ВДК характерны водные дисперсии полимеров и дозируемые кислоты/щелочи для корректировки pH; для органики — ксилол, толуол, бутилацетат, уайт-спирит и др. Сырьё поставляется сторонними производителями, принимается на склад и далее передаётся в цеха.</w:t>
      </w:r>
    </w:p>
    <w:p>
      <w:pPr>
        <w:spacing w:before="160" w:after="12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sz w:val="28"/>
        </w:rPr>
        <w:t>3.3. Выпускаемая продукция и её характеристики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Номенклатура насчитывает порядка 250 товарных наименований: средства защиты древесины; лакокрасочные покрытия (интерьерные и фасадные краски, эмали, лаки, грунтовки); декоративные покрытия; специализированные гидроизоляционные и огнезащитные составы. Качество обеспечивается автоматизацией процессов и поэтапным контролем.</w:t>
      </w:r>
    </w:p>
    <w:p>
      <w:pPr>
        <w:spacing w:before="160" w:after="12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sz w:val="28"/>
        </w:rPr>
        <w:t>3.4. Основные правила техники безопасности в цехе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Организационные меры: инструктажи и проверка знаний по ОТ и ПБ; наличие службы ОТ. Технологическая безопасность: максимальная автоматизация для снижения контакта с опасными веществами; контроль загрузки сырья с подтверждением технолога. Промышленная и пожарная безопасность: регламент работы с ЛВЖ/ГЖ; системы пожаротушения и сигнализации; взрывозащищённое электрооборудование в органике; тамбур-шлюзы; заземление и антистатические меры. Применение СИЗ обязательно. Экологические решения (конденсация растворителей, очистка воды) также снижают вредное воздействие на персонал.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Вывод по разделу 3. Изучаемые цеха различаются по категории опасности; наиболее жёсткие требования предъявляются к органическому отделению из-за постоянного обращения ЛВЖ и ГЖ.</w:t>
      </w:r>
    </w:p>
    <w:p>
      <w:pPr>
        <w:spacing w:before="240" w:after="12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sz w:val="28"/>
        </w:rPr>
        <w:t>4. Технологическая схема и разделы технологического регламента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Технологический регламент — основной нормативно-технический документ, определяющий режим и порядок операций процесса. Безопасность заложена в ряде его разделов: общая характеристика производства; характеристика продукции; характеристика сырья; описание процесса; нормы режима; технологическая схема; спецификация оборудования; контроль производства; правила безопасности; возможные неполадки и способы устранения; нормы расхода; отходы, стоки, выбросы; перечень обязательных инструкций.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Укрупнённая схема производства ЛКМ включает: подачу и подготовку жидкого сырья из резервуарного парка; загрузку сухих компонентов через люки; диспергирование и гомогенизацию в диссольверах/реакторах; типизацию (доведение до стандарта, корректировка pH); фильтрацию; транспортировку самотёком на фасовку. Аппараты снабжаются водяными рубашками, системами автоматического регулирования уровня (СУР), контурами конденсации паров, стационарными газоанализаторами (пороги НКПР).</w:t>
      </w:r>
    </w:p>
    <w:p>
      <w:pPr>
        <w:spacing w:after="120" w:before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Возможные неполадки и действия персонала:</w:t>
      </w:r>
    </w:p>
    <w:tbl>
      <w:tblPr>
        <w:tblStyle w:val="af5"/>
        <w:tblW w:type="auto" w:w="0"/>
        <w:tblLook w:firstColumn="1" w:firstRow="1" w:lastColumn="0" w:lastRow="0" w:noHBand="0" w:noVBand="1" w:val="04A0"/>
      </w:tblPr>
      <w:tblGrid>
        <w:gridCol w:w="2339"/>
        <w:gridCol w:w="2339"/>
        <w:gridCol w:w="2339"/>
        <w:gridCol w:w="2339"/>
      </w:tblGrid>
      <w:tr>
        <w:tc>
          <w:tcPr>
            <w:tcW w:type="dxa" w:w="2339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0"/>
              </w:rPr>
              <w:t>Неполадка</w:t>
            </w:r>
          </w:p>
        </w:tc>
        <w:tc>
          <w:tcPr>
            <w:tcW w:type="dxa" w:w="2339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0"/>
              </w:rPr>
              <w:t>Причина</w:t>
            </w:r>
          </w:p>
        </w:tc>
        <w:tc>
          <w:tcPr>
            <w:tcW w:type="dxa" w:w="2339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0"/>
              </w:rPr>
              <w:t>Контроль</w:t>
            </w:r>
          </w:p>
        </w:tc>
        <w:tc>
          <w:tcPr>
            <w:tcW w:type="dxa" w:w="2339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0"/>
              </w:rPr>
              <w:t>Действия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0"/>
              </w:rPr>
              <w:t>Сигнал загазованности</w:t>
            </w:r>
          </w:p>
        </w:tc>
        <w:tc>
          <w:tcPr>
            <w:tcW w:type="dxa" w:w="2339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0"/>
              </w:rPr>
              <w:t>Пролив растворителя, разгерметизация</w:t>
            </w:r>
          </w:p>
        </w:tc>
        <w:tc>
          <w:tcPr>
            <w:tcW w:type="dxa" w:w="2339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0"/>
              </w:rPr>
              <w:t>Газоанализаторы</w:t>
            </w:r>
          </w:p>
        </w:tc>
        <w:tc>
          <w:tcPr>
            <w:tcW w:type="dxa" w:w="2339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0"/>
              </w:rPr>
              <w:t>Аварийная вентиляция, перекрытие клапанов, устранение утечки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0"/>
              </w:rPr>
              <w:t>Превышение температуры в диссольвере</w:t>
            </w:r>
          </w:p>
        </w:tc>
        <w:tc>
          <w:tcPr>
            <w:tcW w:type="dxa" w:w="2339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0"/>
              </w:rPr>
              <w:t>Высокие обороты, сбой охлаждения</w:t>
            </w:r>
          </w:p>
        </w:tc>
        <w:tc>
          <w:tcPr>
            <w:tcW w:type="dxa" w:w="2339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0"/>
              </w:rPr>
              <w:t>Термопара</w:t>
            </w:r>
          </w:p>
        </w:tc>
        <w:tc>
          <w:tcPr>
            <w:tcW w:type="dxa" w:w="2339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0"/>
              </w:rPr>
              <w:t>Снижение оборотов, подача охлаждения, останов при необходимости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0"/>
              </w:rPr>
              <w:t>Критический верхний уровень в резервуаре</w:t>
            </w:r>
          </w:p>
        </w:tc>
        <w:tc>
          <w:tcPr>
            <w:tcW w:type="dxa" w:w="2339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0"/>
              </w:rPr>
              <w:t>Ошибка дозирования, отказ отсечного клапана</w:t>
            </w:r>
          </w:p>
        </w:tc>
        <w:tc>
          <w:tcPr>
            <w:tcW w:type="dxa" w:w="2339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0"/>
              </w:rPr>
              <w:t>Сигнализация СУР</w:t>
            </w:r>
          </w:p>
        </w:tc>
        <w:tc>
          <w:tcPr>
            <w:tcW w:type="dxa" w:w="2339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0"/>
              </w:rPr>
              <w:t>Отключение насоса системой ПАЗ, контроль аппаратчиком</w:t>
            </w:r>
          </w:p>
        </w:tc>
      </w:tr>
      <w:tr>
        <w:tc>
          <w:tcPr>
            <w:tcW w:type="dxa" w:w="2339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0"/>
              </w:rPr>
              <w:t>Падение давления в контуре охлаждения</w:t>
            </w:r>
          </w:p>
        </w:tc>
        <w:tc>
          <w:tcPr>
            <w:tcW w:type="dxa" w:w="2339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0"/>
              </w:rPr>
              <w:t>Прекращение подачи воды, прорыв</w:t>
            </w:r>
          </w:p>
        </w:tc>
        <w:tc>
          <w:tcPr>
            <w:tcW w:type="dxa" w:w="2339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0"/>
              </w:rPr>
              <w:t>Манометры/датчики протока</w:t>
            </w:r>
          </w:p>
        </w:tc>
        <w:tc>
          <w:tcPr>
            <w:tcW w:type="dxa" w:w="2339"/>
          </w:tcPr>
          <w:p>
            <w:pPr>
              <w:spacing w:line="240" w:lineRule="auto"/>
            </w:pPr>
            <w:r>
              <w:rPr>
                <w:rFonts w:ascii="Times New Roman" w:hAnsi="Times New Roman" w:eastAsia="Times New Roman" w:cs="Times New Roman"/>
                <w:sz w:val="20"/>
              </w:rPr>
              <w:t>Запрет стадий с нагревом/интенсивным перемешиванием до восстановления</w:t>
            </w:r>
          </w:p>
        </w:tc>
      </w:tr>
    </w:tbl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Вывод по разделу 4. Безопасность процесса обеспечивается сочетанием регламентных норм, автоматики контроля параметров и чётких действий персонала при отклонениях.</w:t>
      </w:r>
    </w:p>
    <w:p>
      <w:pPr>
        <w:spacing w:before="240" w:after="12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sz w:val="28"/>
        </w:rPr>
        <w:t>5. Порядок освидетельствования, приёма и сдачи оборудования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Освидетельствование включает планирование (перечень объектов, графики), формирование комиссии приказом, подготовку и проведение (изучение документации, осмотр, проверка работоспособности и параметров; при необходимости — экспертные организации), анализ результатов, оформление акта и контроль исполнения рекомендаций. Для сосудов, работающих под давлением, предусмотрены разрешение на пуск, периодические осмотры, гидравлические и пневматические испытания; аналогичные подходы применяются к баллонам, цистернам, трубопроводам и грузоподъёмным машинам (частичное и полное освидетельствование со статическими и динамическими испытаниями).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Приём оборудования: приказ о комиссии и задачах; подготовка площадки; внешний осмотр и проверка комплектности; оценка готовности места установки; наладка; при необходимости — опытная эксплуатация; документальное оформление; инструктаж персонала. Сдача: инициатива и согласование с техническими службами, ОТ и ПБ; работа комиссии; акт сдачи-приёмки; решение о принятии, доработке, списании или передаче.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Вывод по разделу 5. Порядок освидетельствования и приёмки/сдачи оборудования на предприятии формализован и направлен на предотвращение эксплуатации неисправных объектов повышенной опасности.</w:t>
      </w:r>
    </w:p>
    <w:p>
      <w:pPr>
        <w:spacing w:before="240" w:after="12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sz w:val="28"/>
        </w:rPr>
        <w:t>6. Анализ предписаний органов государственного надзора и контроля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Государственный надзор и контроль независимо от формы собственности осуществляют уполномоченные органы: Ростехнадзор — безопасное ведение работ на опасных производственных объектах; органы энергонадзора — безопасное обслуживание электрических и теплоиспользующих установок; Роспотребнадзор (санэпиднадзор) — гигиенические и санитарные требования; Роструд (госинспекция труда) — охрана труда; государственный пожарный надзор — пожарная безопасность. Общественный контроль реализуют профсоюзы и уполномоченные (доверенные) лица по охране труда.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В материалах практики рассмотрены примеры замечаний по итогам проверки Центрального управления Ростехнадзора (в том числе 2019 г.). Организационные нарушения: отсутствие отдельных назначений, документов, схем, перечней. Технические: отсутствие инвентарного номера на переносном электронагревателе; отсутствие опознавательных знаков на светильниках аварийного освещения; отсутствие стрелок направления вращения на электродвигателях. Нарушения требовали устранения в установленном порядке.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Вывод по разделу 6. Предприятие находится в зоне регулярного внешнего контроля; типичные предписания носят преимущественно организационно-технический характер и устранимы при дисциплине ведения документации и маркировки.</w:t>
      </w:r>
    </w:p>
    <w:p>
      <w:pPr>
        <w:spacing w:before="240" w:after="12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sz w:val="28"/>
        </w:rPr>
        <w:t>7. Результаты специальной оценки условий труда и план мероприятий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СОУТ проводится в соответствии с Федеральным законом № 426-ФЗ не реже одного раза в пять лет, а также внепланово при изменении условий. Цель — идентификация и измерение вредных и опасных факторов, отнесение условий труда к классам по степени вредности и опасности, определение гарантий и компенсаций.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На рабочих местах лакокрасочного производства идентифицируются: химический фактор (пары растворителей, кислот, щелочей); производственная пыль (АПФД) при растаривании и загрузке; шум и вибрация от оборудования и вентиляции; параметры микроклимата; освещённость; электромагнитные поля; статическое электричество; показатели тяжести и напряжённости труда. Оцениваются также травмобезопасность и обеспеченность СИЗ.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По итогам СОУТ большинство рабочих мест относится ко 2-му классу (допустимые условия). Участки с более интенсивным контактом с химикатами и работой на технологическом оборудовании могут относиться к 3-му классу (вредные условия) с предоставлением соответствующих льгот и компенсаций. Благодаря вентиляции, автоматизации и контролю воздушной среды класс условий труда на значительной части мест удерживается в допустимых пределах.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План улучшения условий труда включает: управленческий блок (актуализация регламентов, информирование, медосмотры по Приказу Минздрава № 29н); технологические меры (модернизация фондов, автоматика, очистные сооружения); защитные меры (обеспечение и контроль СИЗ); развитие санитарно-бытовой инфраструктуры. Контроль исполнения — у службы ОТ, руководителей подразделений и надзорных органов.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Вывод по разделу 7. СОУТ подтверждает наличие характерных для ЛКМ-производства факторов; комплекс инженерных и организационных мер позволяет в основном обеспечивать допустимые условия труда.</w:t>
      </w:r>
    </w:p>
    <w:p>
      <w:pPr>
        <w:spacing w:before="240" w:after="12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sz w:val="28"/>
        </w:rPr>
        <w:t>8. Работа, выполненная по индивидуальному заданию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Тема индивидуального задания: «Анализ пожаровзрывоопасности органического цеха ООО «НПП Рогнеда» и оценка достаточности инженерно-технических и организационных мер защиты персонала».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В рамках задания изучены источники опасности органического цеха: обращение ЛВЖ и ГЖ (ксилол, толуол, бутилацетат, уайт-спирит и др.); возможность образования взрывоопасных паровоздушных смесей; риски разрядов статического электричества; тепловыделение при диспергировании; человеческий фактор при дозировании и загрузке.</w:t>
      </w:r>
    </w:p>
    <w:p>
      <w:pPr>
        <w:spacing w:after="120" w:before="0" w:line="360" w:lineRule="auto"/>
        <w:ind w:firstLine="0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Рассмотрены меры защиты:</w:t>
      </w:r>
    </w:p>
    <w:p>
      <w:pPr>
        <w:pStyle w:val="a7"/>
        <w:spacing w:after="60" w:line="360" w:lineRule="auto"/>
        <w:jc w:val="both"/>
      </w:pPr>
      <w:r>
        <w:rPr>
          <w:rFonts w:ascii="Times New Roman" w:hAnsi="Times New Roman" w:eastAsia="Times New Roman" w:cs="Times New Roman"/>
          <w:sz w:val="28"/>
        </w:rPr>
        <w:t>организационные — инструктажи, наряды-допуски, запрет огневых работ в действующем органическом производстве, контроль технолога при загрузке;</w:t>
      </w:r>
    </w:p>
    <w:p>
      <w:pPr>
        <w:pStyle w:val="a7"/>
        <w:spacing w:after="60" w:line="360" w:lineRule="auto"/>
        <w:jc w:val="both"/>
      </w:pPr>
      <w:r>
        <w:rPr>
          <w:rFonts w:ascii="Times New Roman" w:hAnsi="Times New Roman" w:eastAsia="Times New Roman" w:cs="Times New Roman"/>
          <w:sz w:val="28"/>
        </w:rPr>
        <w:t>инженерные — взрывозащищённое электрооборудование, тамбур-шлюз с подпором воздуха, заземление аппаратов и трубопроводов, антистатические решения, СУР, газоанализаторы, конденсация паров, водяные рубашки;</w:t>
      </w:r>
    </w:p>
    <w:p>
      <w:pPr>
        <w:pStyle w:val="a7"/>
        <w:spacing w:after="60" w:line="360" w:lineRule="auto"/>
        <w:jc w:val="both"/>
      </w:pPr>
      <w:r>
        <w:rPr>
          <w:rFonts w:ascii="Times New Roman" w:hAnsi="Times New Roman" w:eastAsia="Times New Roman" w:cs="Times New Roman"/>
          <w:sz w:val="28"/>
        </w:rPr>
        <w:t>противопожарные — спринклерная водно-пенная система, пожарные клапаны в вентиляции, зенитные фонари, СОУЭ, первичные средства пожаротушения;</w:t>
      </w:r>
    </w:p>
    <w:p>
      <w:pPr>
        <w:pStyle w:val="a7"/>
        <w:spacing w:after="60" w:line="360" w:lineRule="auto"/>
        <w:jc w:val="both"/>
      </w:pPr>
      <w:r>
        <w:rPr>
          <w:rFonts w:ascii="Times New Roman" w:hAnsi="Times New Roman" w:eastAsia="Times New Roman" w:cs="Times New Roman"/>
          <w:sz w:val="28"/>
        </w:rPr>
        <w:t>индивидуальные — респираторы, антистатическая спецодежда, очки, химзащита при работе с агрессивными веществами.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Оценка: принятый на предприятии комплекс мер соответствует характеру опасностей органического цеха и направлен на предотвращение образования горючей среды, источников зажигания и на ограничение последствий при отклонении режима. Наиболее чувствительные зоны риска — стадии загрузки/дозирования, обслуживание фланцевых соединений и соблюдение запрета на огневые работы.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Вывод по разделу 8. Индивидуальное задание выполнено: идентифицированы ключевые факторы пожаровзрывоопасности и показано, что система защиты персонала в органическом цехе носит комплексный характер и опирается на регламент, автоматику и инженерные барьеры.</w:t>
      </w:r>
    </w:p>
    <w:p>
      <w:pPr>
        <w:spacing w:before="240" w:after="12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sz w:val="28"/>
        </w:rPr>
        <w:t>9. Основные экономические показатели предприятия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По итогам 2025 года ООО «НПП Рогнеда» демонстрирует выручку около 6,3 млрд руб. и чистую прибыль около 569,5 млн руб. В отчётном периоде, по сведениям, доступным в ходе практики, предприятие не фигурировало в сводках происшествий, связанных с тяжёлым производственным травматизмом. Это косвенно свидетельствует об эффективности профилактической работы, однако не снижает значимости потенциального ущерба: авария или пожар на участке с ЛВЖ способны привести к прямым и косвенным потерям, сопоставимым с существенной долей операционной прибыли квартала.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Вывод по разделу 9. Экономические показатели предприятия устойчивы; приоритетом остаётся предупреждение инцидентов как способ сохранения производственной непрерывности и снижения скрытых издержек.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Таким образом, индивидуальное задание позволило связать теоретические положения промышленной и пожарной безопасности с конкретными инженерными решениями предприятия и сформулировать практические предложения по поддержанию защитных барьеров.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Рекомендации по итогам индивидуального задания: усилить визуальный контроль состояния фланцевых соединений на линиях растворителей; поддерживать дисциплину фиксации навесок в журналах; регулярно проверять исправность газоанализаторов и порогов сигнализации; не допускать отключений пожарных извещателей вне процедуры оформления огневых работ на участках, где это разрешено регламентом.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 ходе выполнения индивидуального задания сопоставлены требования системы предотвращения пожара и системы противопожарной защиты с фактическими решениями органического цеха. Для устранения условий образования горючей среды используются герметизация, вентиляция, контроль загазованности и конденсация паров. Для исключения источников зажигания — взрывозащищённое оборудование, заземление, антистатические меры и запрет огневых работ в действующем производстве. Для ограничения последствий — спринклерное тушение, дымоудаление, СОУЭ и первичные средства.</w:t>
      </w:r>
    </w:p>
    <w:p>
      <w:pPr>
        <w:spacing w:after="120" w:line="360" w:lineRule="auto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Дополнение к индивидуальному заданию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Персонал обеспечивается СИЗ: герметичными очками, респираторами со сменными патронами, спецодеждой с антистатической нитью, химически стойкими костюмами и перчатками при работе с кислотами и щелочами. Вблизи зон с агрессивными веществами установлены аварийные фонтаны для промывки глаз; в цехах имеются аптечки и аварийные шкафы.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Автоматическая водно-пенная спринклерная система включает трубопроводный контур под давлением, оросители с термоколбами (срабатывание при локальном нагреве порядка 68 °C) и насос подкачки («джакей»), поддерживающий давление в дежурном режиме. При разрушении колб давление падает, система переходит в режим тушения. Дополнительно размещены пожарные щиты, краны, огнетушители и покрывала; на кровле над органическим отделением — зенитные фонари с электроприводом для аварийного дымоудаления; СОУЭ включает световые указатели «Выход» и звуковые оповещатели.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Во взрывопожароопасном органическом цехе вся электропроводка, распределительные устройства, электродвигатели, светильники и приборы выполнены во взрывозащищённом исполнении. Вход организован через тамбур-шлюз с двумя дверями и подпором воздуха, препятствующим распространению паров. Аппараты и трубопроводы заземлены; применяются антистатические элементы (в том числе на дверях) для снятия статического заряда.</w:t>
      </w:r>
    </w:p>
    <w:p>
      <w:pPr>
        <w:spacing w:after="120"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sz w:val="28"/>
        </w:rPr>
        <w:t>На предприятии применяются приточно-вытяжная вентиляция, кондиционирование и воздушное отопление. Приточная система размещена в производственных помещениях: наружный воздух проходит через венткамеру (очистка, подогрев/охлаждение) и подаётся в рабочие зоны. Вытяжные агрегаты вынесены на кровлю, что снижает риск скопления взрывоопасных газов во внутренних каналах. В воздуховодах на границах пожарных отсеков установлены автоматические пожарные клапаны, перекрывающие каналы при срабатывании пожарной сигнализации или систем загазованности.</w:t>
      </w:r>
    </w:p>
    <w:p>
      <w:pPr>
        <w:spacing w:after="120" w:line="360" w:lineRule="auto"/>
        <w:ind w:firstLine="0"/>
        <w:jc w:val="both"/>
      </w:pPr>
      <w:r>
        <w:rPr>
          <w:rFonts w:ascii="Times New Roman" w:hAnsi="Times New Roman" w:eastAsia="Times New Roman"/>
          <w:b/>
          <w:sz w:val="28"/>
        </w:rPr>
        <w:t>Дополнение к разделу 4. Инженерно-технические средства защиты персонала</w:t>
      </w:r>
    </w:p>
    <w:p>
      <w:pPr>
        <w:spacing w:before="240" w:after="12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sz w:val="28"/>
        </w:rPr>
        <w:t>ЗАКЛЮЧЕНИЕ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В ходе второй производственной практики на ООО «НПП Рогнеда» выполнена программа практики и поставленные задачи. Я ознакомилась со структурой предприятия, работой подразделений, обеспечивающих безопасные условия труда, системой государственного и общественного контроля, порядком инструктажей, причинами возможных аварий и мерами защиты персонала, технологическим регламентом цехов, порядком освидетельствования оборудования, результатами СОУТ, а также выполнила индивидуальное задание по анализу пожаровзрывоопасности органического цеха.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Цель практики достигнута: получено целостное представление о том, как на реальном химическом производстве оценивается опасность объекта, обеспечивается безопасность технологического процесса и управляются профессиональные риски. Производство ЛКМ связано с существенными химическими и пожаровзрывоопасными факторами, однако на предприятии выстроена система организационных и инженерно-технических барьеров, позволяющая в основном обеспечивать допустимые условия труда.</w:t>
      </w:r>
    </w:p>
    <w:p>
      <w:pPr>
        <w:spacing w:after="120" w:before="0" w:line="360" w:lineRule="auto"/>
        <w:ind w:firstLine="709"/>
        <w:jc w:val="both"/>
      </w:pPr>
      <w:r>
        <w:rPr>
          <w:rFonts w:ascii="Times New Roman" w:hAnsi="Times New Roman" w:eastAsia="Times New Roman" w:cs="Times New Roman"/>
          <w:b w:val="0"/>
          <w:sz w:val="28"/>
        </w:rPr>
        <w:t>Полученные знания и навыки будут использованы в дальнейшем обучении по направлению «Техносферная безопасность» и при подготовке к профессиональной деятельности инженера по охране труда и промышленной безопасности.</w:t>
      </w:r>
    </w:p>
    <w:p>
      <w:pPr>
        <w:spacing w:before="240" w:after="120" w:line="360" w:lineRule="auto"/>
        <w:ind w:firstLine="0"/>
        <w:jc w:val="left"/>
      </w:pPr>
      <w:r>
        <w:rPr>
          <w:rFonts w:ascii="Times New Roman" w:hAnsi="Times New Roman" w:eastAsia="Times New Roman" w:cs="Times New Roman"/>
          <w:b/>
          <w:sz w:val="28"/>
        </w:rPr>
        <w:t>СПИСОК ИСПОЛЬЗОВАННЫХ ИСТОЧНИКОВ</w:t>
      </w:r>
    </w:p>
    <w:p>
      <w:pPr>
        <w:spacing w:line="360" w:lineRule="auto"/>
        <w:ind w:left="425" w:hanging="425"/>
        <w:jc w:val="both"/>
      </w:pPr>
      <w:r>
        <w:rPr>
          <w:rFonts w:ascii="Times New Roman" w:hAnsi="Times New Roman" w:eastAsia="Times New Roman" w:cs="Times New Roman"/>
          <w:sz w:val="28"/>
        </w:rPr>
        <w:t>1. Трудовой кодекс Российской Федерации от 30.12.2001 № 197-ФЗ (ред. действ.). Глава 10. Охрана труда.</w:t>
      </w:r>
    </w:p>
    <w:p>
      <w:pPr>
        <w:spacing w:line="360" w:lineRule="auto"/>
        <w:ind w:left="425" w:hanging="425"/>
        <w:jc w:val="both"/>
      </w:pPr>
      <w:r>
        <w:rPr>
          <w:rFonts w:ascii="Times New Roman" w:hAnsi="Times New Roman" w:eastAsia="Times New Roman" w:cs="Times New Roman"/>
          <w:sz w:val="28"/>
        </w:rPr>
        <w:t>2. Федеральный закон от 28.12.2013 № 426-ФЗ «О специальной оценке условий труда».</w:t>
      </w:r>
    </w:p>
    <w:p>
      <w:pPr>
        <w:spacing w:line="360" w:lineRule="auto"/>
        <w:ind w:left="425" w:hanging="425"/>
        <w:jc w:val="both"/>
      </w:pPr>
      <w:r>
        <w:rPr>
          <w:rFonts w:ascii="Times New Roman" w:hAnsi="Times New Roman" w:eastAsia="Times New Roman" w:cs="Times New Roman"/>
          <w:sz w:val="28"/>
        </w:rPr>
        <w:t>3. Федеральный закон от 21.07.1997 № 116-ФЗ «О промышленной безопасности опасных производственных объектов».</w:t>
      </w:r>
    </w:p>
    <w:p>
      <w:pPr>
        <w:spacing w:line="360" w:lineRule="auto"/>
        <w:ind w:left="425" w:hanging="425"/>
        <w:jc w:val="both"/>
      </w:pPr>
      <w:r>
        <w:rPr>
          <w:rFonts w:ascii="Times New Roman" w:hAnsi="Times New Roman" w:eastAsia="Times New Roman" w:cs="Times New Roman"/>
          <w:sz w:val="28"/>
        </w:rPr>
        <w:t>4. Приказ Министерства здравоохранения РФ от 28.01.2021 № 29н «Об утверждении Порядка проведения обязательных предварительных и периодических медицинских осмотров работников…».</w:t>
      </w:r>
    </w:p>
    <w:p>
      <w:pPr>
        <w:spacing w:line="360" w:lineRule="auto"/>
        <w:ind w:left="425" w:hanging="425"/>
        <w:jc w:val="both"/>
      </w:pPr>
      <w:r>
        <w:rPr>
          <w:rFonts w:ascii="Times New Roman" w:hAnsi="Times New Roman" w:eastAsia="Times New Roman" w:cs="Times New Roman"/>
          <w:sz w:val="28"/>
        </w:rPr>
        <w:t>5. Приказ Министерства труда и социальной защиты РФ от 29.10.2021 № 774н «Об утверждении Общих требований к организации безопасного рабочего места».</w:t>
      </w:r>
    </w:p>
    <w:p>
      <w:pPr>
        <w:spacing w:line="360" w:lineRule="auto"/>
        <w:ind w:left="425" w:hanging="425"/>
        <w:jc w:val="both"/>
      </w:pPr>
      <w:r>
        <w:rPr>
          <w:rFonts w:ascii="Times New Roman" w:hAnsi="Times New Roman" w:eastAsia="Times New Roman" w:cs="Times New Roman"/>
          <w:sz w:val="28"/>
        </w:rPr>
        <w:t>6. ГОСТ 12.1.005-88. ССБТ. Общие санитарно-гигиенические требования к воздуху рабочей зоны.</w:t>
      </w:r>
    </w:p>
    <w:p>
      <w:pPr>
        <w:spacing w:line="360" w:lineRule="auto"/>
        <w:ind w:left="425" w:hanging="425"/>
        <w:jc w:val="both"/>
      </w:pPr>
      <w:r>
        <w:rPr>
          <w:rFonts w:ascii="Times New Roman" w:hAnsi="Times New Roman" w:eastAsia="Times New Roman" w:cs="Times New Roman"/>
          <w:sz w:val="28"/>
        </w:rPr>
        <w:t>7. ГОСТ 12.4.011-89. ССБТ. Средства защиты работающих. Общие требования и классификация.</w:t>
      </w:r>
    </w:p>
    <w:p>
      <w:pPr>
        <w:spacing w:line="360" w:lineRule="auto"/>
        <w:ind w:left="425" w:hanging="425"/>
        <w:jc w:val="both"/>
      </w:pPr>
      <w:r>
        <w:rPr>
          <w:rFonts w:ascii="Times New Roman" w:hAnsi="Times New Roman" w:eastAsia="Times New Roman" w:cs="Times New Roman"/>
          <w:sz w:val="28"/>
        </w:rPr>
        <w:t>8. ГОСТ 7.32-2001. Отчёт о научно-исследовательской работе. Структура и правила оформления.</w:t>
      </w:r>
    </w:p>
    <w:p>
      <w:pPr>
        <w:spacing w:line="360" w:lineRule="auto"/>
        <w:ind w:left="425" w:hanging="425"/>
        <w:jc w:val="both"/>
      </w:pPr>
      <w:r>
        <w:rPr>
          <w:rFonts w:ascii="Times New Roman" w:hAnsi="Times New Roman" w:eastAsia="Times New Roman" w:cs="Times New Roman"/>
          <w:sz w:val="28"/>
        </w:rPr>
        <w:t>9. ГОСТ 7.1-2003. Библиографическая запись. Библиографическое описание. Общие требования и правила составления.</w:t>
      </w:r>
    </w:p>
    <w:p>
      <w:pPr>
        <w:spacing w:line="360" w:lineRule="auto"/>
        <w:ind w:left="425" w:hanging="425"/>
        <w:jc w:val="both"/>
      </w:pPr>
      <w:r>
        <w:rPr>
          <w:rFonts w:ascii="Times New Roman" w:hAnsi="Times New Roman" w:eastAsia="Times New Roman" w:cs="Times New Roman"/>
          <w:sz w:val="28"/>
        </w:rPr>
        <w:t>10. СП 60.13330.2020. Отопление, вентиляция и кондиционирование воздуха.</w:t>
      </w:r>
    </w:p>
    <w:p>
      <w:pPr>
        <w:spacing w:line="360" w:lineRule="auto"/>
        <w:ind w:left="425" w:hanging="425"/>
        <w:jc w:val="both"/>
      </w:pPr>
      <w:r>
        <w:rPr>
          <w:rFonts w:ascii="Times New Roman" w:hAnsi="Times New Roman" w:eastAsia="Times New Roman" w:cs="Times New Roman"/>
          <w:sz w:val="28"/>
        </w:rPr>
        <w:t>11. Пособие по практикам бакалавров направления подготовки 20.03.01 «Техносферная безопасность». Кафедра ТСБ РХТУ им. Д.И. Менделеева.</w:t>
      </w:r>
    </w:p>
    <w:p>
      <w:pPr>
        <w:spacing w:line="360" w:lineRule="auto"/>
        <w:ind w:left="425" w:hanging="425"/>
        <w:jc w:val="both"/>
      </w:pPr>
      <w:r>
        <w:rPr>
          <w:rFonts w:ascii="Times New Roman" w:hAnsi="Times New Roman" w:eastAsia="Times New Roman" w:cs="Times New Roman"/>
          <w:sz w:val="28"/>
        </w:rPr>
        <w:t>12. О компании [Электронный ресурс] // Рогнеда. — URL: https://www.rogneda.ru/company/ (дата обращения: 15.07.2026).</w:t>
      </w:r>
    </w:p>
    <w:p>
      <w:pPr>
        <w:spacing w:line="360" w:lineRule="auto"/>
        <w:ind w:left="425" w:hanging="425"/>
        <w:jc w:val="both"/>
      </w:pPr>
      <w:r>
        <w:rPr>
          <w:rFonts w:ascii="Times New Roman" w:hAnsi="Times New Roman" w:eastAsia="Times New Roman" w:cs="Times New Roman"/>
          <w:sz w:val="28"/>
        </w:rPr>
        <w:t>13. ООО «НПП Рогнеда» [Электронный ресурс] // Companium.ru. — URL: https://companium.ru/id/1147746529920-npp-rogneda (дата обращения: 15.07.2026).</w:t>
      </w:r>
    </w:p>
    <w:p>
      <w:pPr>
        <w:spacing w:line="360" w:lineRule="auto"/>
        <w:ind w:left="425" w:hanging="425"/>
        <w:jc w:val="both"/>
      </w:pPr>
      <w:r>
        <w:rPr>
          <w:rFonts w:ascii="Times New Roman" w:hAnsi="Times New Roman" w:eastAsia="Times New Roman" w:cs="Times New Roman"/>
          <w:sz w:val="28"/>
        </w:rPr>
        <w:t>14. Технологический регламент производства лакокрасочных материалов ООО «НПП РОГНЕДА» (материалы предприятия, 2026 г.).</w:t>
      </w:r>
    </w:p>
    <w:p>
      <w:pPr>
        <w:spacing w:line="360" w:lineRule="auto"/>
        <w:ind w:left="425" w:hanging="425"/>
        <w:jc w:val="both"/>
      </w:pPr>
      <w:r>
        <w:rPr>
          <w:rFonts w:ascii="Times New Roman" w:hAnsi="Times New Roman" w:eastAsia="Times New Roman" w:cs="Times New Roman"/>
          <w:sz w:val="28"/>
        </w:rPr>
        <w:t>15. Материалы производственной практики на ООО «НПП Рогнеда», 2026 г.</w:t>
      </w:r>
    </w:p>
    <w:sectPr w:rsidR="006F311E" w:rsidRPr="00467892" w:rsidSect="007E1D94">
      <w:footerReference w:type="default" r:id="rId23"/>
      <w:pgSz w:w="11906" w:h="16838"/>
      <w:pgMar w:top="1134" w:right="850" w:bottom="1134" w:left="1701" w:header="708" w:footer="708" w:gutter="0"/>
      <w:pgNumType w:start="1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1EAC4388" w14:textId="77777777" w:rsidR="00AD4924" w:rsidRDefault="00AD4924" w:rsidP="00EC1EE7">
      <w:pPr>
        <w:spacing w:after="0" w:line="240" w:lineRule="auto"/>
      </w:pPr>
      <w:r>
        <w:separator/>
      </w:r>
    </w:p>
  </w:endnote>
  <w:endnote w:type="continuationSeparator" w:id="0">
    <w:p w14:paraId="2323FDC3" w14:textId="77777777" w:rsidR="00AD4924" w:rsidRDefault="00AD4924" w:rsidP="00EC1EE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sdt>
    <w:sdtPr>
      <w:id w:val="1352616164"/>
      <w:docPartObj>
        <w:docPartGallery w:val="Page Numbers (Bottom of Page)"/>
        <w:docPartUnique/>
      </w:docPartObj>
    </w:sdtPr>
    <w:sdtEndPr/>
    <w:sdtContent>
      <w:p w14:paraId="270B44E1" w14:textId="6D9DF75F" w:rsidR="00D47F47" w:rsidRDefault="00D47F47">
        <w:pPr>
          <w:pStyle w:val="af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8B71A0">
          <w:rPr>
            <w:noProof/>
          </w:rPr>
          <w:t>6</w:t>
        </w:r>
        <w:r>
          <w:fldChar w:fldCharType="end"/>
        </w:r>
      </w:p>
    </w:sdtContent>
  </w:sdt>
  <w:p w14:paraId="3FEFC78F" w14:textId="77777777" w:rsidR="00D47F47" w:rsidRDefault="00D47F47">
    <w:pPr>
      <w:pStyle w:val="af"/>
      <w:jc w:val="center"/>
    </w:pPr>
    <w:r>
      <w:rPr>
        <w:rFonts w:ascii="Times New Roman" w:hAnsi="Times New Roman" w:eastAsia="Times New Roman" w:cs="Times New Roman"/>
        <w:sz w:val="24"/>
      </w:rPr>
      <w:fldChar w:fldCharType="begin"/>
      <w:instrText>PAGE</w:instrText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40E69804" w14:textId="77777777" w:rsidR="00AD4924" w:rsidRDefault="00AD4924" w:rsidP="00EC1EE7">
      <w:pPr>
        <w:spacing w:after="0" w:line="240" w:lineRule="auto"/>
      </w:pPr>
      <w:r>
        <w:separator/>
      </w:r>
    </w:p>
  </w:footnote>
  <w:footnote w:type="continuationSeparator" w:id="0">
    <w:p w14:paraId="07F65D92" w14:textId="77777777" w:rsidR="00AD4924" w:rsidRDefault="00AD4924" w:rsidP="00EC1EE7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55E1B53"/>
    <w:multiLevelType w:val="hybridMultilevel"/>
    <w:tmpl w:val="A058DA5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076041"/>
    <w:multiLevelType w:val="multilevel"/>
    <w:tmpl w:val="DA28B4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DD26BC"/>
    <w:multiLevelType w:val="multilevel"/>
    <w:tmpl w:val="DA9E6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CE1257"/>
    <w:multiLevelType w:val="hybridMultilevel"/>
    <w:tmpl w:val="72CA0EA6"/>
    <w:lvl w:ilvl="0" w:tplc="137A8990">
      <w:numFmt w:val="bullet"/>
      <w:lvlText w:val="•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194011C"/>
    <w:multiLevelType w:val="multilevel"/>
    <w:tmpl w:val="F740055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 w:val="0"/>
      </w:rPr>
    </w:lvl>
    <w:lvl w:ilvl="1">
      <w:start w:val="2"/>
      <w:numFmt w:val="decimal"/>
      <w:isLgl/>
      <w:lvlText w:val="%1.%2"/>
      <w:lvlJc w:val="left"/>
      <w:pPr>
        <w:ind w:left="114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92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7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31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9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32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510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880" w:hanging="2160"/>
      </w:pPr>
      <w:rPr>
        <w:rFonts w:hint="default"/>
      </w:rPr>
    </w:lvl>
  </w:abstractNum>
  <w:abstractNum w:abstractNumId="5" w15:restartNumberingAfterBreak="0">
    <w:nsid w:val="1F512B13"/>
    <w:multiLevelType w:val="multilevel"/>
    <w:tmpl w:val="DA9E6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C27B31"/>
    <w:multiLevelType w:val="multilevel"/>
    <w:tmpl w:val="B5D088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39E2DF7"/>
    <w:multiLevelType w:val="multilevel"/>
    <w:tmpl w:val="4A808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77273B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31497078"/>
    <w:multiLevelType w:val="hybridMultilevel"/>
    <w:tmpl w:val="3AB8F1C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44876B7"/>
    <w:multiLevelType w:val="multilevel"/>
    <w:tmpl w:val="DA9E6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AF92923"/>
    <w:multiLevelType w:val="hybridMultilevel"/>
    <w:tmpl w:val="D938EE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BCE1614"/>
    <w:multiLevelType w:val="multilevel"/>
    <w:tmpl w:val="E6C4A684"/>
    <w:styleLink w:val="1"/>
    <w:lvl w:ilvl="0">
      <w:start w:val="1"/>
      <w:numFmt w:val="decimal"/>
      <w:lvlText w:val="%1."/>
      <w:lvlJc w:val="left"/>
      <w:pPr>
        <w:ind w:left="1069" w:hanging="360"/>
      </w:pPr>
      <w:rPr>
        <w:rFonts w:ascii="Times New Roman" w:eastAsiaTheme="minorHAnsi" w:hAnsi="Times New Roman" w:cs="Times New Roman"/>
      </w:rPr>
    </w:lvl>
    <w:lvl w:ilvl="1">
      <w:start w:val="1"/>
      <w:numFmt w:val="lowerLetter"/>
      <w:lvlText w:val="%2."/>
      <w:lvlJc w:val="left"/>
      <w:pPr>
        <w:ind w:left="1789" w:hanging="360"/>
      </w:pPr>
    </w:lvl>
    <w:lvl w:ilvl="2">
      <w:start w:val="1"/>
      <w:numFmt w:val="lowerRoman"/>
      <w:lvlText w:val="%3."/>
      <w:lvlJc w:val="right"/>
      <w:pPr>
        <w:ind w:left="2509" w:hanging="180"/>
      </w:pPr>
    </w:lvl>
    <w:lvl w:ilvl="3">
      <w:start w:val="1"/>
      <w:numFmt w:val="decimal"/>
      <w:lvlText w:val="%4."/>
      <w:lvlJc w:val="left"/>
      <w:pPr>
        <w:ind w:left="3229" w:hanging="360"/>
      </w:pPr>
    </w:lvl>
    <w:lvl w:ilvl="4">
      <w:start w:val="1"/>
      <w:numFmt w:val="lowerLetter"/>
      <w:lvlText w:val="%5."/>
      <w:lvlJc w:val="left"/>
      <w:pPr>
        <w:ind w:left="3949" w:hanging="360"/>
      </w:pPr>
    </w:lvl>
    <w:lvl w:ilvl="5">
      <w:start w:val="1"/>
      <w:numFmt w:val="lowerRoman"/>
      <w:lvlText w:val="%6."/>
      <w:lvlJc w:val="right"/>
      <w:pPr>
        <w:ind w:left="4669" w:hanging="180"/>
      </w:pPr>
    </w:lvl>
    <w:lvl w:ilvl="6">
      <w:start w:val="1"/>
      <w:numFmt w:val="decimal"/>
      <w:lvlText w:val="%7."/>
      <w:lvlJc w:val="left"/>
      <w:pPr>
        <w:ind w:left="5389" w:hanging="360"/>
      </w:pPr>
    </w:lvl>
    <w:lvl w:ilvl="7">
      <w:start w:val="1"/>
      <w:numFmt w:val="lowerLetter"/>
      <w:lvlText w:val="%8."/>
      <w:lvlJc w:val="left"/>
      <w:pPr>
        <w:ind w:left="6109" w:hanging="360"/>
      </w:pPr>
    </w:lvl>
    <w:lvl w:ilvl="8">
      <w:start w:val="1"/>
      <w:numFmt w:val="lowerRoman"/>
      <w:lvlText w:val="%9."/>
      <w:lvlJc w:val="right"/>
      <w:pPr>
        <w:ind w:left="6829" w:hanging="180"/>
      </w:pPr>
    </w:lvl>
  </w:abstractNum>
  <w:abstractNum w:abstractNumId="13" w15:restartNumberingAfterBreak="0">
    <w:nsid w:val="3E725DA7"/>
    <w:multiLevelType w:val="multilevel"/>
    <w:tmpl w:val="2D6CC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39736A4"/>
    <w:multiLevelType w:val="multilevel"/>
    <w:tmpl w:val="D34496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5742919"/>
    <w:multiLevelType w:val="multilevel"/>
    <w:tmpl w:val="C324DE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78B6693"/>
    <w:multiLevelType w:val="hybridMultilevel"/>
    <w:tmpl w:val="9E94276E"/>
    <w:lvl w:ilvl="0" w:tplc="137A8990">
      <w:numFmt w:val="bullet"/>
      <w:lvlText w:val="•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47A37386"/>
    <w:multiLevelType w:val="multilevel"/>
    <w:tmpl w:val="75A24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98C4985"/>
    <w:multiLevelType w:val="multilevel"/>
    <w:tmpl w:val="DA9E6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AAE3D90"/>
    <w:multiLevelType w:val="multilevel"/>
    <w:tmpl w:val="F880D3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E566E4F"/>
    <w:multiLevelType w:val="multilevel"/>
    <w:tmpl w:val="D7B61026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  <w:bCs/>
      </w:rPr>
    </w:lvl>
    <w:lvl w:ilvl="1">
      <w:start w:val="1"/>
      <w:numFmt w:val="decimal"/>
      <w:isLgl/>
      <w:lvlText w:val="%1.%2"/>
      <w:lvlJc w:val="left"/>
      <w:pPr>
        <w:ind w:left="1140" w:hanging="4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80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52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8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60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9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8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400" w:hanging="2160"/>
      </w:pPr>
      <w:rPr>
        <w:rFonts w:hint="default"/>
      </w:rPr>
    </w:lvl>
  </w:abstractNum>
  <w:abstractNum w:abstractNumId="21" w15:restartNumberingAfterBreak="0">
    <w:nsid w:val="553C1BC6"/>
    <w:multiLevelType w:val="multilevel"/>
    <w:tmpl w:val="61CC52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560A057C"/>
    <w:multiLevelType w:val="multilevel"/>
    <w:tmpl w:val="31FCFE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59F55436"/>
    <w:multiLevelType w:val="multilevel"/>
    <w:tmpl w:val="DA9E6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DB127EA"/>
    <w:multiLevelType w:val="hybridMultilevel"/>
    <w:tmpl w:val="AE081C58"/>
    <w:lvl w:ilvl="0" w:tplc="0419000F">
      <w:start w:val="1"/>
      <w:numFmt w:val="decimal"/>
      <w:lvlText w:val="%1."/>
      <w:lvlJc w:val="left"/>
      <w:pPr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5" w15:restartNumberingAfterBreak="0">
    <w:nsid w:val="6175134A"/>
    <w:multiLevelType w:val="hybridMultilevel"/>
    <w:tmpl w:val="83A26438"/>
    <w:lvl w:ilvl="0" w:tplc="137A8990">
      <w:numFmt w:val="bullet"/>
      <w:lvlText w:val="•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23B304D"/>
    <w:multiLevelType w:val="multilevel"/>
    <w:tmpl w:val="8DF44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62C4573D"/>
    <w:multiLevelType w:val="multilevel"/>
    <w:tmpl w:val="174046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3450B46"/>
    <w:multiLevelType w:val="multilevel"/>
    <w:tmpl w:val="DA9E6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42F3952"/>
    <w:multiLevelType w:val="hybridMultilevel"/>
    <w:tmpl w:val="9F9A82A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65943612"/>
    <w:multiLevelType w:val="hybridMultilevel"/>
    <w:tmpl w:val="FD38E596"/>
    <w:lvl w:ilvl="0" w:tplc="137A8990">
      <w:numFmt w:val="bullet"/>
      <w:lvlText w:val="•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66313E26"/>
    <w:multiLevelType w:val="hybridMultilevel"/>
    <w:tmpl w:val="E8E2A304"/>
    <w:lvl w:ilvl="0" w:tplc="137A8990">
      <w:numFmt w:val="bullet"/>
      <w:lvlText w:val="•"/>
      <w:lvlJc w:val="left"/>
      <w:pPr>
        <w:ind w:left="720" w:hanging="360"/>
      </w:pPr>
      <w:rPr>
        <w:rFonts w:ascii="Calibri" w:eastAsiaTheme="minorHAnsi" w:hAnsi="Calibr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6D5649D6"/>
    <w:multiLevelType w:val="multilevel"/>
    <w:tmpl w:val="DA9E6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F2B1B64"/>
    <w:multiLevelType w:val="hybridMultilevel"/>
    <w:tmpl w:val="EB48AEAE"/>
    <w:lvl w:ilvl="0" w:tplc="04190003">
      <w:start w:val="1"/>
      <w:numFmt w:val="bullet"/>
      <w:lvlText w:val="o"/>
      <w:lvlJc w:val="left"/>
      <w:pPr>
        <w:ind w:left="1068" w:hanging="360"/>
      </w:pPr>
      <w:rPr>
        <w:rFonts w:ascii="Courier New" w:hAnsi="Courier New" w:cs="Courier New" w:hint="default"/>
      </w:rPr>
    </w:lvl>
    <w:lvl w:ilvl="1" w:tplc="04190003">
      <w:start w:val="1"/>
      <w:numFmt w:val="bullet"/>
      <w:lvlText w:val="o"/>
      <w:lvlJc w:val="left"/>
      <w:pPr>
        <w:ind w:left="1788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50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2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4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6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38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0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28" w:hanging="360"/>
      </w:pPr>
      <w:rPr>
        <w:rFonts w:ascii="Wingdings" w:hAnsi="Wingdings" w:hint="default"/>
      </w:rPr>
    </w:lvl>
  </w:abstractNum>
  <w:abstractNum w:abstractNumId="34" w15:restartNumberingAfterBreak="0">
    <w:nsid w:val="6F777FEF"/>
    <w:multiLevelType w:val="multilevel"/>
    <w:tmpl w:val="DA9E64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3CF2257"/>
    <w:multiLevelType w:val="multilevel"/>
    <w:tmpl w:val="1C30E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4DE44C7"/>
    <w:multiLevelType w:val="multilevel"/>
    <w:tmpl w:val="AE50BE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BED000B"/>
    <w:multiLevelType w:val="multilevel"/>
    <w:tmpl w:val="966C1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C1171EC"/>
    <w:multiLevelType w:val="multilevel"/>
    <w:tmpl w:val="69B4A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2"/>
  </w:num>
  <w:num w:numId="2">
    <w:abstractNumId w:val="20"/>
  </w:num>
  <w:num w:numId="3">
    <w:abstractNumId w:val="4"/>
  </w:num>
  <w:num w:numId="4">
    <w:abstractNumId w:val="30"/>
  </w:num>
  <w:num w:numId="5">
    <w:abstractNumId w:val="8"/>
  </w:num>
  <w:num w:numId="6">
    <w:abstractNumId w:val="25"/>
  </w:num>
  <w:num w:numId="7">
    <w:abstractNumId w:val="31"/>
  </w:num>
  <w:num w:numId="8">
    <w:abstractNumId w:val="11"/>
  </w:num>
  <w:num w:numId="9">
    <w:abstractNumId w:val="29"/>
  </w:num>
  <w:num w:numId="10">
    <w:abstractNumId w:val="0"/>
  </w:num>
  <w:num w:numId="11">
    <w:abstractNumId w:val="9"/>
  </w:num>
  <w:num w:numId="12">
    <w:abstractNumId w:val="33"/>
  </w:num>
  <w:num w:numId="13">
    <w:abstractNumId w:val="32"/>
  </w:num>
  <w:num w:numId="14">
    <w:abstractNumId w:val="17"/>
  </w:num>
  <w:num w:numId="15">
    <w:abstractNumId w:val="1"/>
  </w:num>
  <w:num w:numId="16">
    <w:abstractNumId w:val="24"/>
  </w:num>
  <w:num w:numId="17">
    <w:abstractNumId w:val="10"/>
  </w:num>
  <w:num w:numId="18">
    <w:abstractNumId w:val="23"/>
  </w:num>
  <w:num w:numId="19">
    <w:abstractNumId w:val="28"/>
  </w:num>
  <w:num w:numId="20">
    <w:abstractNumId w:val="5"/>
  </w:num>
  <w:num w:numId="21">
    <w:abstractNumId w:val="2"/>
  </w:num>
  <w:num w:numId="22">
    <w:abstractNumId w:val="18"/>
  </w:num>
  <w:num w:numId="23">
    <w:abstractNumId w:val="34"/>
  </w:num>
  <w:num w:numId="24">
    <w:abstractNumId w:val="35"/>
  </w:num>
  <w:num w:numId="25">
    <w:abstractNumId w:val="21"/>
  </w:num>
  <w:num w:numId="26">
    <w:abstractNumId w:val="7"/>
  </w:num>
  <w:num w:numId="27">
    <w:abstractNumId w:val="6"/>
  </w:num>
  <w:num w:numId="28">
    <w:abstractNumId w:val="13"/>
  </w:num>
  <w:num w:numId="29">
    <w:abstractNumId w:val="26"/>
  </w:num>
  <w:num w:numId="30">
    <w:abstractNumId w:val="22"/>
  </w:num>
  <w:num w:numId="31">
    <w:abstractNumId w:val="15"/>
  </w:num>
  <w:num w:numId="32">
    <w:abstractNumId w:val="19"/>
  </w:num>
  <w:num w:numId="33">
    <w:abstractNumId w:val="27"/>
  </w:num>
  <w:num w:numId="34">
    <w:abstractNumId w:val="38"/>
  </w:num>
  <w:num w:numId="35">
    <w:abstractNumId w:val="14"/>
  </w:num>
  <w:num w:numId="36">
    <w:abstractNumId w:val="36"/>
  </w:num>
  <w:num w:numId="37">
    <w:abstractNumId w:val="37"/>
  </w:num>
  <w:num w:numId="38">
    <w:abstractNumId w:val="3"/>
  </w:num>
  <w:num w:numId="39">
    <w:abstractNumId w:val="16"/>
  </w:num>
  <w:numIdMacAtCleanup w:val="2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7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7017F"/>
    <w:rsid w:val="00010846"/>
    <w:rsid w:val="00015813"/>
    <w:rsid w:val="0001680A"/>
    <w:rsid w:val="00024A12"/>
    <w:rsid w:val="00025D55"/>
    <w:rsid w:val="000308ED"/>
    <w:rsid w:val="00040999"/>
    <w:rsid w:val="00045156"/>
    <w:rsid w:val="000467E9"/>
    <w:rsid w:val="00051BC5"/>
    <w:rsid w:val="00075F1A"/>
    <w:rsid w:val="00081E9D"/>
    <w:rsid w:val="00084E09"/>
    <w:rsid w:val="000925B0"/>
    <w:rsid w:val="00094DDD"/>
    <w:rsid w:val="000B6436"/>
    <w:rsid w:val="000C23D9"/>
    <w:rsid w:val="000C503B"/>
    <w:rsid w:val="000E1F4B"/>
    <w:rsid w:val="000E5738"/>
    <w:rsid w:val="000E7E97"/>
    <w:rsid w:val="000F13B4"/>
    <w:rsid w:val="00101F33"/>
    <w:rsid w:val="0010485A"/>
    <w:rsid w:val="001241CA"/>
    <w:rsid w:val="00131CC9"/>
    <w:rsid w:val="00133A5E"/>
    <w:rsid w:val="0013493E"/>
    <w:rsid w:val="00135F1E"/>
    <w:rsid w:val="00142EA1"/>
    <w:rsid w:val="00145997"/>
    <w:rsid w:val="00147E90"/>
    <w:rsid w:val="00160F9F"/>
    <w:rsid w:val="00161FE7"/>
    <w:rsid w:val="00174D94"/>
    <w:rsid w:val="00183F2A"/>
    <w:rsid w:val="001A069E"/>
    <w:rsid w:val="001A1359"/>
    <w:rsid w:val="001A602C"/>
    <w:rsid w:val="001B38F7"/>
    <w:rsid w:val="001B3FAE"/>
    <w:rsid w:val="001B67C3"/>
    <w:rsid w:val="001C1DA5"/>
    <w:rsid w:val="001D2486"/>
    <w:rsid w:val="001E3939"/>
    <w:rsid w:val="001E4C2D"/>
    <w:rsid w:val="002048B7"/>
    <w:rsid w:val="00210C06"/>
    <w:rsid w:val="00223703"/>
    <w:rsid w:val="00224695"/>
    <w:rsid w:val="00224A21"/>
    <w:rsid w:val="00230DC9"/>
    <w:rsid w:val="00230FF2"/>
    <w:rsid w:val="0024150A"/>
    <w:rsid w:val="00251999"/>
    <w:rsid w:val="0026275F"/>
    <w:rsid w:val="00265E33"/>
    <w:rsid w:val="002827DE"/>
    <w:rsid w:val="00287ADB"/>
    <w:rsid w:val="00296478"/>
    <w:rsid w:val="002A307B"/>
    <w:rsid w:val="002B0460"/>
    <w:rsid w:val="002B2F0C"/>
    <w:rsid w:val="002B4F6B"/>
    <w:rsid w:val="002C23DC"/>
    <w:rsid w:val="002D2612"/>
    <w:rsid w:val="002E3D3E"/>
    <w:rsid w:val="002E480A"/>
    <w:rsid w:val="002F0C90"/>
    <w:rsid w:val="002F1E6C"/>
    <w:rsid w:val="00303C95"/>
    <w:rsid w:val="00314C2C"/>
    <w:rsid w:val="00331D35"/>
    <w:rsid w:val="00341A07"/>
    <w:rsid w:val="0035450B"/>
    <w:rsid w:val="003626A3"/>
    <w:rsid w:val="00367D28"/>
    <w:rsid w:val="003715B2"/>
    <w:rsid w:val="00380DAC"/>
    <w:rsid w:val="0038502D"/>
    <w:rsid w:val="003853ED"/>
    <w:rsid w:val="003939F0"/>
    <w:rsid w:val="003A7C35"/>
    <w:rsid w:val="003B0D50"/>
    <w:rsid w:val="003F7E12"/>
    <w:rsid w:val="00413567"/>
    <w:rsid w:val="004142CC"/>
    <w:rsid w:val="00417309"/>
    <w:rsid w:val="0042780D"/>
    <w:rsid w:val="00443767"/>
    <w:rsid w:val="004579F2"/>
    <w:rsid w:val="004604A7"/>
    <w:rsid w:val="00467892"/>
    <w:rsid w:val="00483FD7"/>
    <w:rsid w:val="004861E4"/>
    <w:rsid w:val="00490E38"/>
    <w:rsid w:val="00495F38"/>
    <w:rsid w:val="0049774B"/>
    <w:rsid w:val="004A2664"/>
    <w:rsid w:val="004C7380"/>
    <w:rsid w:val="004D0004"/>
    <w:rsid w:val="004D1C18"/>
    <w:rsid w:val="004F3931"/>
    <w:rsid w:val="004F6776"/>
    <w:rsid w:val="00500630"/>
    <w:rsid w:val="005122CC"/>
    <w:rsid w:val="00514273"/>
    <w:rsid w:val="00534B01"/>
    <w:rsid w:val="00534E63"/>
    <w:rsid w:val="00551B90"/>
    <w:rsid w:val="0055669E"/>
    <w:rsid w:val="00560281"/>
    <w:rsid w:val="005614C1"/>
    <w:rsid w:val="00564DF6"/>
    <w:rsid w:val="00570056"/>
    <w:rsid w:val="0058780E"/>
    <w:rsid w:val="005A0E61"/>
    <w:rsid w:val="005A4187"/>
    <w:rsid w:val="005C4D34"/>
    <w:rsid w:val="005E4BC6"/>
    <w:rsid w:val="005E6957"/>
    <w:rsid w:val="005F23A8"/>
    <w:rsid w:val="005F3C9C"/>
    <w:rsid w:val="005F5DC2"/>
    <w:rsid w:val="00601C68"/>
    <w:rsid w:val="0060319D"/>
    <w:rsid w:val="00610312"/>
    <w:rsid w:val="00620A44"/>
    <w:rsid w:val="0062334B"/>
    <w:rsid w:val="00625BF0"/>
    <w:rsid w:val="006332B5"/>
    <w:rsid w:val="00641158"/>
    <w:rsid w:val="006430CB"/>
    <w:rsid w:val="00643626"/>
    <w:rsid w:val="00651987"/>
    <w:rsid w:val="00653240"/>
    <w:rsid w:val="006629C1"/>
    <w:rsid w:val="00663D8B"/>
    <w:rsid w:val="00667175"/>
    <w:rsid w:val="00673139"/>
    <w:rsid w:val="00675FBE"/>
    <w:rsid w:val="00681373"/>
    <w:rsid w:val="00684740"/>
    <w:rsid w:val="006910DC"/>
    <w:rsid w:val="006A1CF2"/>
    <w:rsid w:val="006B28B6"/>
    <w:rsid w:val="006B4099"/>
    <w:rsid w:val="006C746C"/>
    <w:rsid w:val="006C7CF4"/>
    <w:rsid w:val="006C7F71"/>
    <w:rsid w:val="006D069B"/>
    <w:rsid w:val="006D1B2E"/>
    <w:rsid w:val="006D7133"/>
    <w:rsid w:val="006F311E"/>
    <w:rsid w:val="00700A48"/>
    <w:rsid w:val="00711924"/>
    <w:rsid w:val="00717411"/>
    <w:rsid w:val="007217DA"/>
    <w:rsid w:val="00724B0B"/>
    <w:rsid w:val="00725A59"/>
    <w:rsid w:val="0073437C"/>
    <w:rsid w:val="0074277E"/>
    <w:rsid w:val="007471F4"/>
    <w:rsid w:val="0074729D"/>
    <w:rsid w:val="00754B8F"/>
    <w:rsid w:val="00755840"/>
    <w:rsid w:val="00764905"/>
    <w:rsid w:val="0077017F"/>
    <w:rsid w:val="007746E1"/>
    <w:rsid w:val="00782630"/>
    <w:rsid w:val="0078279B"/>
    <w:rsid w:val="00792B78"/>
    <w:rsid w:val="007A0C8A"/>
    <w:rsid w:val="007A23E4"/>
    <w:rsid w:val="007A35E8"/>
    <w:rsid w:val="007B09E2"/>
    <w:rsid w:val="007B1A35"/>
    <w:rsid w:val="007B234D"/>
    <w:rsid w:val="007B63FE"/>
    <w:rsid w:val="007C0C88"/>
    <w:rsid w:val="007C0E12"/>
    <w:rsid w:val="007C3879"/>
    <w:rsid w:val="007C48FD"/>
    <w:rsid w:val="007D28CC"/>
    <w:rsid w:val="007D5989"/>
    <w:rsid w:val="007E1D94"/>
    <w:rsid w:val="007E1E64"/>
    <w:rsid w:val="007E4894"/>
    <w:rsid w:val="007F0B25"/>
    <w:rsid w:val="008054DE"/>
    <w:rsid w:val="00813D09"/>
    <w:rsid w:val="0083022B"/>
    <w:rsid w:val="008306CD"/>
    <w:rsid w:val="00841D41"/>
    <w:rsid w:val="00844AE9"/>
    <w:rsid w:val="00851AC7"/>
    <w:rsid w:val="00852754"/>
    <w:rsid w:val="00862502"/>
    <w:rsid w:val="0089048E"/>
    <w:rsid w:val="008B71A0"/>
    <w:rsid w:val="008C1BB5"/>
    <w:rsid w:val="008D0FAB"/>
    <w:rsid w:val="008F0966"/>
    <w:rsid w:val="008F5D4E"/>
    <w:rsid w:val="008F7CA8"/>
    <w:rsid w:val="00906522"/>
    <w:rsid w:val="009159BC"/>
    <w:rsid w:val="00917A37"/>
    <w:rsid w:val="0093278E"/>
    <w:rsid w:val="0095020F"/>
    <w:rsid w:val="00951790"/>
    <w:rsid w:val="00965518"/>
    <w:rsid w:val="009701D8"/>
    <w:rsid w:val="009710B3"/>
    <w:rsid w:val="009932E7"/>
    <w:rsid w:val="009A6370"/>
    <w:rsid w:val="009A79AC"/>
    <w:rsid w:val="009B1869"/>
    <w:rsid w:val="009C4C13"/>
    <w:rsid w:val="009C6D9D"/>
    <w:rsid w:val="009D20A3"/>
    <w:rsid w:val="009D57CB"/>
    <w:rsid w:val="009D645D"/>
    <w:rsid w:val="009E0681"/>
    <w:rsid w:val="009E37AA"/>
    <w:rsid w:val="009F7BC4"/>
    <w:rsid w:val="00A04503"/>
    <w:rsid w:val="00A068CC"/>
    <w:rsid w:val="00A11C24"/>
    <w:rsid w:val="00A16575"/>
    <w:rsid w:val="00A17E15"/>
    <w:rsid w:val="00A25DE2"/>
    <w:rsid w:val="00A320D3"/>
    <w:rsid w:val="00A3386E"/>
    <w:rsid w:val="00A3664F"/>
    <w:rsid w:val="00A96C30"/>
    <w:rsid w:val="00AA1FA0"/>
    <w:rsid w:val="00AC2E7A"/>
    <w:rsid w:val="00AC6539"/>
    <w:rsid w:val="00AD4924"/>
    <w:rsid w:val="00AD55CE"/>
    <w:rsid w:val="00AF1A33"/>
    <w:rsid w:val="00B02E02"/>
    <w:rsid w:val="00B262D6"/>
    <w:rsid w:val="00B41660"/>
    <w:rsid w:val="00B45125"/>
    <w:rsid w:val="00B460A2"/>
    <w:rsid w:val="00B46808"/>
    <w:rsid w:val="00B47179"/>
    <w:rsid w:val="00B53C78"/>
    <w:rsid w:val="00B54871"/>
    <w:rsid w:val="00B54F67"/>
    <w:rsid w:val="00B62D9F"/>
    <w:rsid w:val="00B65E73"/>
    <w:rsid w:val="00B721B5"/>
    <w:rsid w:val="00B73F4B"/>
    <w:rsid w:val="00B7502F"/>
    <w:rsid w:val="00B757CF"/>
    <w:rsid w:val="00B75E13"/>
    <w:rsid w:val="00BA1613"/>
    <w:rsid w:val="00BA655C"/>
    <w:rsid w:val="00BB436B"/>
    <w:rsid w:val="00BC3560"/>
    <w:rsid w:val="00BD2223"/>
    <w:rsid w:val="00BD5335"/>
    <w:rsid w:val="00BF0B49"/>
    <w:rsid w:val="00BF60C8"/>
    <w:rsid w:val="00C02DA6"/>
    <w:rsid w:val="00C043CE"/>
    <w:rsid w:val="00C06954"/>
    <w:rsid w:val="00C22568"/>
    <w:rsid w:val="00C24134"/>
    <w:rsid w:val="00C27B1E"/>
    <w:rsid w:val="00C32E2C"/>
    <w:rsid w:val="00C347B0"/>
    <w:rsid w:val="00C3620E"/>
    <w:rsid w:val="00C60F4C"/>
    <w:rsid w:val="00C67221"/>
    <w:rsid w:val="00C67C92"/>
    <w:rsid w:val="00C7012A"/>
    <w:rsid w:val="00C81476"/>
    <w:rsid w:val="00C8596E"/>
    <w:rsid w:val="00C87954"/>
    <w:rsid w:val="00C959C3"/>
    <w:rsid w:val="00C97F56"/>
    <w:rsid w:val="00CA6769"/>
    <w:rsid w:val="00CB01EB"/>
    <w:rsid w:val="00CB0B2F"/>
    <w:rsid w:val="00CB0E8C"/>
    <w:rsid w:val="00CC0A43"/>
    <w:rsid w:val="00CC60B2"/>
    <w:rsid w:val="00CD3425"/>
    <w:rsid w:val="00CD5B09"/>
    <w:rsid w:val="00CD6FAB"/>
    <w:rsid w:val="00CE7F07"/>
    <w:rsid w:val="00D165BE"/>
    <w:rsid w:val="00D322A8"/>
    <w:rsid w:val="00D47F47"/>
    <w:rsid w:val="00D53510"/>
    <w:rsid w:val="00D6715A"/>
    <w:rsid w:val="00D85BDB"/>
    <w:rsid w:val="00D86B7D"/>
    <w:rsid w:val="00DB212F"/>
    <w:rsid w:val="00DB3609"/>
    <w:rsid w:val="00DC6E44"/>
    <w:rsid w:val="00DC7E6D"/>
    <w:rsid w:val="00DD5228"/>
    <w:rsid w:val="00DD6713"/>
    <w:rsid w:val="00DE51F0"/>
    <w:rsid w:val="00DF63A8"/>
    <w:rsid w:val="00DF7EB2"/>
    <w:rsid w:val="00E05F2D"/>
    <w:rsid w:val="00E26DBD"/>
    <w:rsid w:val="00E27101"/>
    <w:rsid w:val="00E3028C"/>
    <w:rsid w:val="00E30420"/>
    <w:rsid w:val="00E33BA2"/>
    <w:rsid w:val="00E41ED7"/>
    <w:rsid w:val="00E637B0"/>
    <w:rsid w:val="00E63EE1"/>
    <w:rsid w:val="00E74CFE"/>
    <w:rsid w:val="00E90316"/>
    <w:rsid w:val="00E92994"/>
    <w:rsid w:val="00EA0B73"/>
    <w:rsid w:val="00EA3E9D"/>
    <w:rsid w:val="00EC1EE7"/>
    <w:rsid w:val="00ED199F"/>
    <w:rsid w:val="00ED57E7"/>
    <w:rsid w:val="00EE05EA"/>
    <w:rsid w:val="00EE20AB"/>
    <w:rsid w:val="00EE586C"/>
    <w:rsid w:val="00EE7C4C"/>
    <w:rsid w:val="00EF03A4"/>
    <w:rsid w:val="00EF2A51"/>
    <w:rsid w:val="00EF4FB5"/>
    <w:rsid w:val="00EF57C0"/>
    <w:rsid w:val="00EF77BE"/>
    <w:rsid w:val="00F24CF9"/>
    <w:rsid w:val="00F50638"/>
    <w:rsid w:val="00F70FF0"/>
    <w:rsid w:val="00F77218"/>
    <w:rsid w:val="00F83A9D"/>
    <w:rsid w:val="00F92C0E"/>
    <w:rsid w:val="00F93E2A"/>
    <w:rsid w:val="00F977F8"/>
    <w:rsid w:val="00FA3DE2"/>
    <w:rsid w:val="00FC21D6"/>
    <w:rsid w:val="00FC28FC"/>
    <w:rsid w:val="00FE3DD1"/>
    <w:rsid w:val="00FE5068"/>
    <w:rsid w:val="00FE50E1"/>
    <w:rsid w:val="00FF6F17"/>
    <w:rsid w:val="00FF78CA"/>
    <w:rsid w:val="00FF7D5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17505C17"/>
  <w15:chartTrackingRefBased/>
  <w15:docId w15:val="{8E0DF2BA-661B-4A4B-935D-A3E3830FCA2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0">
    <w:name w:val="heading 1"/>
    <w:basedOn w:val="a"/>
    <w:next w:val="a"/>
    <w:link w:val="11"/>
    <w:uiPriority w:val="9"/>
    <w:qFormat/>
    <w:rsid w:val="00417309"/>
    <w:pPr>
      <w:keepNext/>
      <w:keepLines/>
      <w:spacing w:before="360" w:after="80"/>
      <w:outlineLvl w:val="0"/>
    </w:pPr>
    <w:rPr>
      <w:rFonts w:ascii="Times New Roman" w:eastAsiaTheme="majorEastAsia" w:hAnsi="Times New Roman" w:cstheme="majorBidi"/>
      <w:b/>
      <w:sz w:val="36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844AE9"/>
    <w:pPr>
      <w:keepNext/>
      <w:keepLines/>
      <w:spacing w:before="160" w:after="80"/>
      <w:jc w:val="both"/>
      <w:outlineLvl w:val="1"/>
    </w:pPr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443767"/>
    <w:pPr>
      <w:keepNext/>
      <w:keepLines/>
      <w:spacing w:before="160" w:after="80"/>
      <w:jc w:val="both"/>
      <w:outlineLvl w:val="2"/>
    </w:pPr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701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7017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701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7017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7017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7017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1">
    <w:name w:val="Заголовок 1 Знак"/>
    <w:basedOn w:val="a0"/>
    <w:link w:val="10"/>
    <w:uiPriority w:val="9"/>
    <w:rsid w:val="00417309"/>
    <w:rPr>
      <w:rFonts w:ascii="Times New Roman" w:eastAsiaTheme="majorEastAsia" w:hAnsi="Times New Roman" w:cstheme="majorBidi"/>
      <w:b/>
      <w:sz w:val="36"/>
      <w:szCs w:val="40"/>
    </w:rPr>
  </w:style>
  <w:style w:type="character" w:customStyle="1" w:styleId="20">
    <w:name w:val="Заголовок 2 Знак"/>
    <w:basedOn w:val="a0"/>
    <w:link w:val="2"/>
    <w:uiPriority w:val="9"/>
    <w:rsid w:val="00844AE9"/>
    <w:rPr>
      <w:rFonts w:ascii="Times New Roman" w:eastAsiaTheme="majorEastAsia" w:hAnsi="Times New Roman" w:cstheme="majorBidi"/>
      <w:b/>
      <w:color w:val="000000" w:themeColor="text1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443767"/>
    <w:rPr>
      <w:rFonts w:ascii="Times New Roman" w:eastAsiaTheme="majorEastAsia" w:hAnsi="Times New Roman" w:cstheme="majorBidi"/>
      <w:b/>
      <w:color w:val="000000" w:themeColor="text1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77017F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77017F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77017F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77017F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77017F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77017F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77017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Название Знак"/>
    <w:basedOn w:val="a0"/>
    <w:link w:val="a3"/>
    <w:uiPriority w:val="10"/>
    <w:rsid w:val="007701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77017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7701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77017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7017F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77017F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77017F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77017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77017F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77017F"/>
    <w:rPr>
      <w:b/>
      <w:bCs/>
      <w:smallCaps/>
      <w:color w:val="2F5496" w:themeColor="accent1" w:themeShade="BF"/>
      <w:spacing w:val="5"/>
    </w:rPr>
  </w:style>
  <w:style w:type="character" w:styleId="ac">
    <w:name w:val="Hyperlink"/>
    <w:basedOn w:val="a0"/>
    <w:uiPriority w:val="99"/>
    <w:unhideWhenUsed/>
    <w:rsid w:val="0077017F"/>
    <w:rPr>
      <w:color w:val="0563C1" w:themeColor="hyperlink"/>
      <w:u w:val="single"/>
    </w:rPr>
  </w:style>
  <w:style w:type="character" w:customStyle="1" w:styleId="UnresolvedMention">
    <w:name w:val="Unresolved Mention"/>
    <w:basedOn w:val="a0"/>
    <w:uiPriority w:val="99"/>
    <w:semiHidden/>
    <w:unhideWhenUsed/>
    <w:rsid w:val="0077017F"/>
    <w:rPr>
      <w:color w:val="605E5C"/>
      <w:shd w:val="clear" w:color="auto" w:fill="E1DFDD"/>
    </w:rPr>
  </w:style>
  <w:style w:type="paragraph" w:customStyle="1" w:styleId="docdata">
    <w:name w:val="docdata"/>
    <w:aliases w:val="docy,v5,3070,bqiaagaaeyqcaaagiaiaaamxcwaabt8laaaaaaaaaaaaaaaaaaaaaaaaaaaaaaaaaaaaaaaaaaaaaaaaaaaaaaaaaaaaaaaaaaaaaaaaaaaaaaaaaaaaaaaaaaaaaaaaaaaaaaaaaaaaaaaaaaaaaaaaaaaaaaaaaaaaaaaaaaaaaaaaaaaaaaaaaaaaaaaaaaaaaaaaaaaaaaaaaaaaaaaaaaaaaaaaaaaaaaaa"/>
    <w:basedOn w:val="a"/>
    <w:rsid w:val="00CC60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ad">
    <w:name w:val="header"/>
    <w:basedOn w:val="a"/>
    <w:link w:val="ae"/>
    <w:uiPriority w:val="99"/>
    <w:unhideWhenUsed/>
    <w:rsid w:val="00EC1EE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e">
    <w:name w:val="Верхний колонтитул Знак"/>
    <w:basedOn w:val="a0"/>
    <w:link w:val="ad"/>
    <w:uiPriority w:val="99"/>
    <w:rsid w:val="00EC1EE7"/>
  </w:style>
  <w:style w:type="paragraph" w:styleId="af">
    <w:name w:val="footer"/>
    <w:basedOn w:val="a"/>
    <w:link w:val="af0"/>
    <w:uiPriority w:val="99"/>
    <w:unhideWhenUsed/>
    <w:rsid w:val="00EC1EE7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0">
    <w:name w:val="Нижний колонтитул Знак"/>
    <w:basedOn w:val="a0"/>
    <w:link w:val="af"/>
    <w:uiPriority w:val="99"/>
    <w:rsid w:val="00EC1EE7"/>
  </w:style>
  <w:style w:type="numbering" w:customStyle="1" w:styleId="1">
    <w:name w:val="Текущий список1"/>
    <w:uiPriority w:val="99"/>
    <w:rsid w:val="00681373"/>
    <w:pPr>
      <w:numPr>
        <w:numId w:val="1"/>
      </w:numPr>
    </w:pPr>
  </w:style>
  <w:style w:type="paragraph" w:styleId="af1">
    <w:name w:val="TOC Heading"/>
    <w:basedOn w:val="10"/>
    <w:next w:val="a"/>
    <w:uiPriority w:val="39"/>
    <w:unhideWhenUsed/>
    <w:qFormat/>
    <w:rsid w:val="00A068CC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af2">
    <w:name w:val="Normal (Web)"/>
    <w:basedOn w:val="a"/>
    <w:uiPriority w:val="99"/>
    <w:unhideWhenUsed/>
    <w:rsid w:val="00ED57E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af3">
    <w:name w:val="No Spacing"/>
    <w:uiPriority w:val="1"/>
    <w:qFormat/>
    <w:rsid w:val="006D7133"/>
    <w:pPr>
      <w:spacing w:after="0" w:line="240" w:lineRule="auto"/>
    </w:pPr>
  </w:style>
  <w:style w:type="character" w:styleId="af4">
    <w:name w:val="Strong"/>
    <w:basedOn w:val="a0"/>
    <w:uiPriority w:val="22"/>
    <w:qFormat/>
    <w:rsid w:val="00015813"/>
    <w:rPr>
      <w:b/>
      <w:bCs/>
    </w:rPr>
  </w:style>
  <w:style w:type="table" w:styleId="af5">
    <w:name w:val="Table Grid"/>
    <w:basedOn w:val="a1"/>
    <w:uiPriority w:val="39"/>
    <w:rsid w:val="00015813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ds-markdown-paragraph">
    <w:name w:val="ds-markdown-paragraph"/>
    <w:basedOn w:val="a"/>
    <w:rsid w:val="0001680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12">
    <w:name w:val="toc 1"/>
    <w:basedOn w:val="a"/>
    <w:next w:val="a"/>
    <w:autoRedefine/>
    <w:uiPriority w:val="39"/>
    <w:unhideWhenUsed/>
    <w:rsid w:val="00AD55CE"/>
    <w:pPr>
      <w:tabs>
        <w:tab w:val="right" w:leader="dot" w:pos="9345"/>
      </w:tabs>
      <w:spacing w:after="100"/>
      <w:jc w:val="both"/>
    </w:pPr>
    <w:rPr>
      <w:rFonts w:ascii="Times New Roman" w:hAnsi="Times New Roman"/>
      <w:sz w:val="28"/>
    </w:rPr>
  </w:style>
  <w:style w:type="paragraph" w:styleId="23">
    <w:name w:val="toc 2"/>
    <w:basedOn w:val="a"/>
    <w:next w:val="a"/>
    <w:autoRedefine/>
    <w:uiPriority w:val="39"/>
    <w:unhideWhenUsed/>
    <w:rsid w:val="002F1E6C"/>
    <w:pPr>
      <w:spacing w:after="100"/>
      <w:ind w:left="170"/>
    </w:pPr>
    <w:rPr>
      <w:rFonts w:ascii="Times New Roman" w:hAnsi="Times New Roman"/>
    </w:rPr>
  </w:style>
  <w:style w:type="paragraph" w:styleId="31">
    <w:name w:val="toc 3"/>
    <w:basedOn w:val="a"/>
    <w:next w:val="a"/>
    <w:autoRedefine/>
    <w:uiPriority w:val="39"/>
    <w:unhideWhenUsed/>
    <w:rsid w:val="002F1E6C"/>
    <w:pPr>
      <w:spacing w:after="100"/>
      <w:ind w:left="397"/>
    </w:pPr>
    <w:rPr>
      <w:rFonts w:ascii="Times New Roman" w:hAnsi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77136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5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3628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11206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74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940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902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866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97422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9591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28367212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8782438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653617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6948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778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184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01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1472553">
          <w:marLeft w:val="660"/>
          <w:marRight w:val="66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156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0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22547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45332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31132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2732664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89276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02348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8696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89963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9193029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0809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5061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2075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170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7091593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2043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2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00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139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746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381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79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140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583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506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33296">
          <w:marLeft w:val="0"/>
          <w:marRight w:val="0"/>
          <w:marTop w:val="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investfuture.ru/" TargetMode="External"/><Relationship Id="rId18" Type="http://schemas.openxmlformats.org/officeDocument/2006/relationships/hyperlink" Target="https://www.consultant.ru/document/cons_doc_LAW_2400/51238a20b6a62975da8bdcd0bee4b3d54ff38a39/" TargetMode="External"/><Relationship Id="rId3" Type="http://schemas.openxmlformats.org/officeDocument/2006/relationships/styles" Target="styles.xml"/><Relationship Id="rId21" Type="http://schemas.openxmlformats.org/officeDocument/2006/relationships/hyperlink" Target="https://companium.ru/id/1147746529920-npp-rogneda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rogneda.ru/company/" TargetMode="External"/><Relationship Id="rId17" Type="http://schemas.openxmlformats.org/officeDocument/2006/relationships/hyperlink" Target="https://glavkniga.ru/situations/s505503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consultant.ru/document/cons_doc_LAW_373204/7626c2ceb5ecaaf2b3c5d502e77c42aefc0cce35/" TargetMode="External"/><Relationship Id="rId20" Type="http://schemas.openxmlformats.org/officeDocument/2006/relationships/hyperlink" Target="https://companium.ru/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ruslanbaraka.uz/o-kompanii-1" TargetMode="External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www.garant.ru/products/ipo/prime/doc/70953868/" TargetMode="External"/><Relationship Id="rId23" Type="http://schemas.openxmlformats.org/officeDocument/2006/relationships/footer" Target="footer1.xml"/><Relationship Id="rId10" Type="http://schemas.openxmlformats.org/officeDocument/2006/relationships/hyperlink" Target="https://xn--32-6kc6aiblpikdn.xn--p1ai/info/brands/rogneda/" TargetMode="External"/><Relationship Id="rId19" Type="http://schemas.openxmlformats.org/officeDocument/2006/relationships/hyperlink" Target="https://www.trudohrana.ru/article/104656-24-m7-kak-primenit-rezultaty-proverki-git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sdelanounas.ru/blogs/5039/" TargetMode="External"/><Relationship Id="rId14" Type="http://schemas.openxmlformats.org/officeDocument/2006/relationships/hyperlink" Target="https://investfuture.ru/articles/ekonomicheskiy-uscherb-chto-eto-takoe-formy-vliyanie-i-metody-otsenki" TargetMode="External"/><Relationship Id="rId22" Type="http://schemas.openxmlformats.org/officeDocument/2006/relationships/hyperlink" Target="https://www.tbank.ru/business/contractor/legal/1147746529920/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B12B31B-B807-48E5-A611-3C6093ABFC8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610</TotalTime>
  <Pages>20</Pages>
  <Words>4324</Words>
  <Characters>24653</Characters>
  <Application>Microsoft Office Word</Application>
  <DocSecurity>0</DocSecurity>
  <Lines>205</Lines>
  <Paragraphs>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28920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Алёна Марфина</dc:creator>
  <cp:keywords/>
  <dc:description/>
  <cp:lastModifiedBy>Учетная запись Майкрософт</cp:lastModifiedBy>
  <cp:revision>68</cp:revision>
  <dcterms:created xsi:type="dcterms:W3CDTF">2026-07-09T08:27:00Z</dcterms:created>
  <dcterms:modified xsi:type="dcterms:W3CDTF">2026-07-20T13:27:00Z</dcterms:modified>
</cp:coreProperties>
</file>