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E30613"/>
          <w:sz w:val="32"/>
        </w:rPr>
        <w:t>НЕОБЫЧНЫЕ СЛУЧАИ ПРИ ПРОВЕДЕНИИ ИНСТРУКТАЖА ПО ОХРАНЕ ТРУДА</w:t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Подборка судебной и надзорной практики: формальный журнал, отказ расписаться, инструктаж до трудового договора, подрядчики, ЭДО и подделка подписи после несчастного случая</w:t>
      </w:r>
    </w:p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1. Зачем эта подборка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практике инструктаж редко «ломается» из‑за того, что мастер не знает тему занятия. Споры возникают вокруг процедуры: кого считать работником на дату записи в журнале, мог ли человек физически присутствовать, кто имел право инструктировать, можно ли закрыть всё в ЭДО, что делать с отказом от подписи и как выглядит журнал после несчастного случая.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Ниже — случаи, которые выбиваются из шаблона «прочитал инструкцию — расписался». Нормативная рамка: статьи 76, 214, 219 и часть 3 статьи 22.1 Трудового кодекса РФ; Правила обучения по охране труда, утверждённые постановлением Правительства РФ от 24 декабря 2021 г. № 2464; часть 3 статьи 5.27.1 КоАП РФ. Полный реестр с ссылками — в файле «Необычные_случаи_инструктажа.xlsx».</w:t>
      </w:r>
    </w:p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2. Карта необычных ситуаций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1F4E79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5386"/>
            <w:shd w:fill="1F4E79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Сюжет</w:t>
            </w:r>
          </w:p>
        </w:tc>
        <w:tc>
          <w:tcPr>
            <w:tcW w:type="dxa" w:w="3402"/>
            <w:shd w:fill="1F4E79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Чем закончилось</w:t>
            </w:r>
          </w:p>
        </w:tc>
      </w:tr>
      <w:tr>
        <w:tc>
          <w:tcPr>
            <w:tcW w:type="dxa" w:w="850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5386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Инструктаж до трудового договора</w:t>
            </w:r>
          </w:p>
        </w:tc>
        <w:tc>
          <w:tcPr>
            <w:tcW w:type="dxa" w:w="3402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Суд разрешил, если до допуска к работе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5386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Даты в журнале, а работник в командировке</w:t>
            </w:r>
          </w:p>
        </w:tc>
        <w:tc>
          <w:tcPr>
            <w:tcW w:type="dxa" w:w="3402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ВС РФ: обучение формальное, штраф устоял</w:t>
            </w:r>
          </w:p>
        </w:tc>
      </w:tr>
      <w:tr>
        <w:tc>
          <w:tcPr>
            <w:tcW w:type="dxa" w:w="850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5386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Штраф механику; в журнале нет ЛНА</w:t>
            </w:r>
          </w:p>
        </w:tc>
        <w:tc>
          <w:tcPr>
            <w:tcW w:type="dxa" w:w="3402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ВС РФ: отвечает руководитель работ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5386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Отказ от инструктажа, есть аудиозапись</w:t>
            </w:r>
          </w:p>
        </w:tc>
        <w:tc>
          <w:tcPr>
            <w:tcW w:type="dxa" w:w="3402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Отстранение законно</w:t>
            </w:r>
          </w:p>
        </w:tc>
      </w:tr>
      <w:tr>
        <w:tc>
          <w:tcPr>
            <w:tcW w:type="dxa" w:w="850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5386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Журналы потеряли после реорганизации</w:t>
            </w:r>
          </w:p>
        </w:tc>
        <w:tc>
          <w:tcPr>
            <w:tcW w:type="dxa" w:w="3402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Штраф правопреемнику 110 000 ₽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5386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Обучали «у себя», без реестра Минтруда</w:t>
            </w:r>
          </w:p>
        </w:tc>
        <w:tc>
          <w:tcPr>
            <w:tcW w:type="dxa" w:w="3402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Вскрылось при смертельном НС</w:t>
            </w:r>
          </w:p>
        </w:tc>
      </w:tr>
      <w:tr>
        <w:tc>
          <w:tcPr>
            <w:tcW w:type="dxa" w:w="850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5386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Чужие подписи в карточке после травмы</w:t>
            </w:r>
          </w:p>
        </w:tc>
        <w:tc>
          <w:tcPr>
            <w:tcW w:type="dxa" w:w="3402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1,3 млн ₽, часть акта Н-1 отменена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5386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Подпись в журнале не обвиняемого</w:t>
            </w:r>
          </w:p>
        </w:tc>
        <w:tc>
          <w:tcPr>
            <w:tcW w:type="dxa" w:w="3402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ВС РФ отменил приговор</w:t>
            </w:r>
          </w:p>
        </w:tc>
      </w:tr>
      <w:tr>
        <w:tc>
          <w:tcPr>
            <w:tcW w:type="dxa" w:w="850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5386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«Инструктаж был», подписи в журнале нет</w:t>
            </w:r>
          </w:p>
        </w:tc>
        <w:tc>
          <w:tcPr>
            <w:tcW w:type="dxa" w:w="3402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Иск прокурора удовлетворён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5386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Стаж 14 лет вместо инструктажа</w:t>
            </w:r>
          </w:p>
        </w:tc>
        <w:tc>
          <w:tcPr>
            <w:tcW w:type="dxa" w:w="3402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Моральный вред с работодателя</w:t>
            </w:r>
          </w:p>
        </w:tc>
      </w:tr>
      <w:tr>
        <w:tc>
          <w:tcPr>
            <w:tcW w:type="dxa" w:w="850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5386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Журналы живые — вина работника</w:t>
            </w:r>
          </w:p>
        </w:tc>
        <w:tc>
          <w:tcPr>
            <w:tcW w:type="dxa" w:w="3402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Отказ в моральном вреде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5386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Кто инструктирует подрядчика</w:t>
            </w:r>
          </w:p>
        </w:tc>
        <w:tc>
          <w:tcPr>
            <w:tcW w:type="dxa" w:w="3402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Два суда — два ответа</w:t>
            </w:r>
          </w:p>
        </w:tc>
      </w:tr>
      <w:tr>
        <w:tc>
          <w:tcPr>
            <w:tcW w:type="dxa" w:w="850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5386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Нет повторного инструктажа в учебном учреждении</w:t>
            </w:r>
          </w:p>
        </w:tc>
        <w:tc>
          <w:tcPr>
            <w:tcW w:type="dxa" w:w="3402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Штраф после жалобы работников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14–15</w:t>
            </w:r>
          </w:p>
        </w:tc>
        <w:tc>
          <w:tcPr>
            <w:tcW w:type="dxa" w:w="5386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Дистанционно можно, журнал в ЭДО — нет</w:t>
            </w:r>
          </w:p>
        </w:tc>
        <w:tc>
          <w:tcPr>
            <w:tcW w:type="dxa" w:w="3402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Ст. 22.1 ТК РФ vs приказ в ЭДО</w:t>
            </w:r>
          </w:p>
        </w:tc>
      </w:tr>
      <w:tr>
        <w:tc>
          <w:tcPr>
            <w:tcW w:type="dxa" w:w="850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5386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Две экспертизы на одну подпись в карточке</w:t>
            </w:r>
          </w:p>
        </w:tc>
        <w:tc>
          <w:tcPr>
            <w:tcW w:type="dxa" w:w="3402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Спор после гибели «висит» на почерке</w:t>
            </w:r>
          </w:p>
        </w:tc>
      </w:tr>
    </w:tbl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3. Разбор случаев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3.1. Инструктаж «слишком рано»: до трудового договора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Постановление Восьмого арбитражного апелляционного суда от 23 апреля 2026 г. № 08АП-10045/25. Электромонтёра проинструктировали (вводный и первичный) за несколько дней до подписания трудового договора. Прокуратура сочла это нарушением: инструктаж — для работника, а трудовых отношений ещё не было. Государственная инспекция труда по тому же эпизоду нарушений не увидела.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Суд встал на сторону безопасности, а не формального статуса: если инструктаж проведён до допуска к работе и к содержанию претензий нет, более ранняя дата сама по себе не обесценивает обучение. Отдельно суд указал, что противоположные выводы прокуратуры и ГИТ по одной ситуации подрывают правовую определённость.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Практический вывод. Ранний инструктаж лучше оформлять как допуск к работе соискателя/принимаемого, а не как попытку «закрыть журнал заранее». Расхождение с разъяснениями Роструда («до ТД нельзя») сохраняется — это как раз и делает случай необычным.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3.2. Инструктаж, на котором работника не было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Постановление Верховного Суда РФ от 3 июля 2017 г. № 83-АД17-2. После смертельного случая с водителем организация показала журнал и удостоверение. Инспекция сверила даты обучения с командировками: в эти дни работник не мог присутствовать. Несчастный случай признали не связанным с производством — административный штраф за допуск без реального обучения всё равно устоял (порядка 125 000 ₽).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Практический вывод. Журнал проверяют как расписание, а не как «галочку». Если дата инструктажа попадает на командировку, больничный или выходной по табелю, запись могут признать фиктивной.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3.3. Инструктирует не «отдел охраны труда», а руководитель работ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Постановление Верховного Суда РФ от 6 сентября 2024 г. № 49-АД24-22-К6. После смертельного несчастного случая к ответственности по части 3 статьи 5.27.1 КоАП РФ привлекли не директора, а механика муниципального учреждения: по должностной инструкции именно он руководил ремонтниками и обеспечивал охрану труда. Повторный инструктаж не провели. В журнале не указали локальный акт, в объёме которого инструктировали (подпункт «з» пункта 87 Правил № 2464).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Практический вывод. Пункт 22 Правил № 2464 закрепляет: инструктаж на рабочем месте — непосредственный руководитель работника, целевой — непосредственный руководитель работ. Специалист по охране труда может организовать систему, но «подписать журнал за всех» — типичная ошибка. Пустая графа про инструкцию для суда равна ненадлежащему оформлению.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3.4. Работник отказался проходить инструктаж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Определение Шестого кассационного суда общей юрисдикции от 18 июня 2026 г. № 88-12087/2026. Работник отказался от повторного инструктажа по охране труда и от противопожарного инструктажа. Работодатель составил акты, запросил объяснения, отстранил от работы. Работник спорил, что инструктаж «неправильно организовали». Суды трёх инстанций поддержали работодателя: обязанность следовать из трудового договора, должностной инструкции и ПВТР; отказ подтверждён свидетелями и аудиозаписью. Отстранение — исполнение статей 76 и 214 ТК РФ, а не дисциплинарное взыскание.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Зеркальный случай — решение Воловского районного суда Тульской области от 13 июня 2017 г. по делу № 2-765/2017 (щебёночный завод «Турдейский»). Работник сказал прокурору, что инструктаж проводили, но в журнале нет ни подписи, ни даты. Суда этого хватило, чтобы удовлетворить иск в интересах неопределённого круга лиц.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Практический вывод. Отказ от подписи ≠ автоматическое отстранение и ≠ доказанный инструктаж. Нужен акт со свидетелями и, при споре о факте проведения, иные доказательства (как аудио в деле 2026 года). Без акта запись «отказался» для суда пуста.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3.5. Журнал потеряли, реестр «есть»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Мурманская практика (штраф 110 000 ₽ правопреемнику по части 3 статьи 5.27.1 КоАП РФ после смертельного несчастного случая в апреле 2025 г.). Оригиналы журналов и протоколов не сохранились, сведения в реестре и «выделенное на обучение время» суд не принял: время не стыковалось с графиком. После реорганизации ответил правопреемник.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Рядом — постановление Второго кассационного суда общей юрисдикции от 10 июля 2026 г. № 16-3774/2026: ООО «Электрик-Сантехник» обучало погибшего работника без регистрации в реестре лиц, обучающих своих работников, и без передачи сведений в реестр обученных лиц ЕИСОТ (пункты 99 и 118 Правил № 2464).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Практический вывод. Цифровой реестр не лечит отсутствие бумажного журнала, а бумажный журнал не лечит игнорирование реестров, если работодатель обучает сам.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3.6. Подпись после несчастного случая: экспертиза почерка вместо инструктажа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Решение Московского районного суда г. Нижнего Новгорода по делу № 2-17/2025. У слесаря ПАО «ОАК» тяжёлая травма головы. В акте Н-1 — нарушение инструкций. Почерковедческая экспертиза: подписи в личной карточке инструктажа выполнены другим лицом. Суд исключил карточку как доказательство, вину работника снял, взыскал около 1,3 млн ₽.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Определение Верховного Суда РФ от 21 января 2026 г. № 51-УД25-20-К8 — уже уголовный сюжет: начальника автотранспортного цеха осудили за нарушение промышленной безопасности, но подпись в журнале инструктажей ему не принадлежала, должностная инструкция не подписана, эксперт по охране труда некомпетентен. Приговор отменили.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деле «Глазковых» (публичный разбор экспертиз, 2019 г.) после гибели ремонтника две почерковедческие экспертизы разошлись по одной подписи в карточке внепланового инструктажа, дата в карточке правилась. Спор сместился с обстоятельств травмы на качество экспертизы.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Противоположность: апелляция Ульяновского областного суда по делу Хасанова Д.Р. — журналы с вводным, первичным и повторным инструктажами приняты, в моральном вреде отказано, вина — неосторожность работника.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Практический вывод. После несчастного случая журнал — главное доказательство вины или невины. Дописывать его задним числом почти всегда вскрывается. Исправление даты в карточке выглядит как оформление «под акт».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3.7. «Опытный — значит, проинструктирован» и «мы не завод»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Апелляционное определение Омского областного суда от 12 ноября 2014 г. № 33-7199/14: токарь со стажем 14 лет травмировался на станке, в журнале инструктажа пусто. Довод «стаж заменяет инструктаж» суд отверг.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Постановление Шестого КСОЮ от 1 марта 2022 г. № 16-1280/2022: учебное учреждение оштрафовали за отсутствие повторного инструктажа после жалобы работников. «Непроизводственная» сфера от обязанности не освобождает; проверяют не реже одного раза в шесть месяцев.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3.8. Подрядчик на чужой территории: развилка судов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Постановление Четвёртого арбитражного апелляционного суда от 27 сентября 2017 г. № 04АП-4211/17: заказчик не работодатель подрядчика — обязанности проводить инструктаж его работникам нет. Решение Кыштымского городского суда Челябинской области от 28 октября 2015 г. по делу № 12-82/2015: обязан именно заказчик. Пункт 10 Правил № 2464 прямо называет командированных и практикантов; подрядчиков — нет. Роструд в разные годы давал несходимые ответы.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Практический вывод. Необычность не в экзотике фактов, а в правовой неопределённости на объекте. Безопасный ход: вводный по рискам территории хозяина площадки + инструктаж своим работодателем + условие в договоре подряда, кто кого допускает.</w:t>
      </w:r>
    </w:p>
    <w:p>
      <w:pPr>
        <w:spacing w:before="24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1A1A1A"/>
          <w:sz w:val="26"/>
        </w:rPr>
        <w:t>3.9. Дистанционный инструктаж и запрет ЭДО на журнал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3 статьи 22.1 ТК РФ прямо исключает из кадрового ЭДО документы, подтверждающие прохождение работником инструктажей по охране труда (рядом с актом о несчастном случае). Правила № 2464 при этом разрешают дистанционные технологии для обучения (пункт 66), с оговорками по практическим занятиям первой помощи и СИЗ.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Отсюда капкан 2022–2026 годов: можно провести вводный инструктаж удалённому работнику по ВКС, но «закрыть» его только электронной подписью в СЭД — нельзя. Соседний сюжет — решение Череповецкого городского суда от 10 мая 2023 г. по делу № 2-923/2023 (оставлено в силе Вологодским областным судом, дело № 33-4222/2023): приказ о назначении ответственным за пожарную безопасность в ЭДО суд принял, потому что работник был обязан смотреть систему. Приказ ≠ журнал инструктажа.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Практический вывод. Не переносить логику «у нас весь кадровый ЭДО» на регистрацию инструктажа. Иначе при проверке инструктаж признают неподтверждённым, даже если вебинар реально был.</w:t>
      </w:r>
    </w:p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4. Что проверять, чтобы не повторить эти дела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fill="1F4E79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Точка контроля</w:t>
            </w:r>
          </w:p>
        </w:tc>
        <w:tc>
          <w:tcPr>
            <w:tcW w:type="dxa" w:w="4819"/>
            <w:shd w:fill="1F4E79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Какой кейс закрывает</w:t>
            </w:r>
          </w:p>
        </w:tc>
      </w:tr>
      <w:tr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Дата журнала = явка по табелю</w:t>
            </w:r>
          </w:p>
        </w:tc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Командировка «в день обучения» (№ 2)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Кто расписывается как инструктирующий</w:t>
            </w:r>
          </w:p>
        </w:tc>
        <w:tc>
          <w:tcPr>
            <w:tcW w:type="dxa" w:w="4819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Механик / мастер, а не «специалист ОТ за всех» (№ 3)</w:t>
            </w:r>
          </w:p>
        </w:tc>
      </w:tr>
      <w:tr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Наименование ЛНА в записи</w:t>
            </w:r>
          </w:p>
        </w:tc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Пустой журнал при повторном (№ 3)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Акт об отказе + свидетели</w:t>
            </w:r>
          </w:p>
        </w:tc>
        <w:tc>
          <w:tcPr>
            <w:tcW w:type="dxa" w:w="4819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Отказ от подписи (№ 4 и 9)</w:t>
            </w:r>
          </w:p>
        </w:tc>
      </w:tr>
      <w:tr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править даты после НС</w:t>
            </w:r>
          </w:p>
        </w:tc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Экспертиза почерка (№ 7, 8, 16)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Оригиналы журналов при реорганизации</w:t>
            </w:r>
          </w:p>
        </w:tc>
        <w:tc>
          <w:tcPr>
            <w:tcW w:type="dxa" w:w="4819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Штраф правопреемнику (№ 5)</w:t>
            </w:r>
          </w:p>
        </w:tc>
      </w:tr>
      <w:tr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Реестры, если учите сами</w:t>
            </w:r>
          </w:p>
        </w:tc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ЕИСОТ (№ 6)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Договор с подрядчиком: кто инструктирует</w:t>
            </w:r>
          </w:p>
        </w:tc>
        <w:tc>
          <w:tcPr>
            <w:tcW w:type="dxa" w:w="4819"/>
            <w:shd w:fill="FFFFFF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Развилка судов (№ 12)</w:t>
            </w:r>
          </w:p>
        </w:tc>
      </w:tr>
      <w:tr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Бумажная подпись на инструктаж</w:t>
            </w:r>
          </w:p>
        </w:tc>
        <w:tc>
          <w:tcPr>
            <w:tcW w:type="dxa" w:w="4819"/>
            <w:shd w:fill="F5F8FB" w:val="clea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Запрет ЭДО, ст. 22.1 ТК РФ (№ 14)</w:t>
            </w:r>
          </w:p>
        </w:tc>
      </w:tr>
    </w:tbl>
    <w:p>
      <w:pPr>
        <w:spacing w:before="320" w:after="1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E30613"/>
          <w:sz w:val="28"/>
        </w:rPr>
        <w:t>5. Источники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Тексты и обзоры судебных актов: Гарант (в т.ч. новости от 09.10.2024 и 14.05.2026), legalacts.ru, base.garant.ru, SudAct, ИТС 1С, карточки судов. По отдельным сюжетам использованы отраслевые обзоры (Трудохрана.ру, публикации по определениям 6 КСОЮ и ВС РФ). Для процессуального цитирования следует сверять полный текст судебного акта.</w:t>
      </w:r>
    </w:p>
    <w:p>
      <w:pPr>
        <w:spacing w:line="360" w:lineRule="auto" w:after="16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Соседний табличный файл: Необычные_случаи_инструктажа.xlsx (листы «Реестр», «Пары», «Выводы», «Источники»).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