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охране труда: Сербия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Электронные документы обучения, инструктажа, учёта НС. Сравнение с РФ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Регулирование ЭДО в охране труда</w:t>
      </w:r>
    </w:p>
    <w:p>
      <w:r>
        <w:rPr>
          <w:rFonts w:ascii="Calibri" w:hAnsi="Calibri" w:eastAsia="Calibri"/>
          <w:b w:val="0"/>
          <w:sz w:val="24"/>
        </w:rPr>
        <w:t>Основные акты: Закон о безопасности и здоровье на работе (Сл. гласник РС 35/2023); Правилник о ведении и сроках хранения учётов в области БЗР (Сл. гласник РС 5/2025, применение с 28.04.2025; последующие правки, в т.ч. перенос форм на 01.01.2027)</w:t>
      </w:r>
    </w:p>
    <w:p>
      <w:r>
        <w:rPr>
          <w:rFonts w:ascii="Calibri" w:hAnsi="Calibri" w:eastAsia="Calibri"/>
          <w:b w:val="0"/>
          <w:sz w:val="24"/>
        </w:rPr>
        <w:t>Правилник 5/2025 сократил число форм учёта ОТ до 11 и с 28.04.2025 разрешил вести их электронно с квалифицированной ЭП — кроме Формы 6.</w:t>
      </w:r>
    </w:p>
    <w:p>
      <w:r>
        <w:rPr>
          <w:rFonts w:ascii="Calibri" w:hAnsi="Calibri" w:eastAsia="Calibri"/>
          <w:b w:val="0"/>
          <w:sz w:val="24"/>
        </w:rPr>
        <w:t>Форма 6 — «учёт работников, обученных безопасной и здоровой работе и правильному применению СИЗ». Это функциональный аналог журнала/протокола обучения. Законодатель сознательно оставил его на бумаге.</w:t>
      </w:r>
    </w:p>
    <w:p>
      <w:r>
        <w:rPr>
          <w:rFonts w:ascii="Calibri" w:hAnsi="Calibri" w:eastAsia="Calibri"/>
          <w:b w:val="0"/>
          <w:sz w:val="24"/>
        </w:rPr>
        <w:t>Сроки хранения длинные (часто 40 лет). Позднейшими правками старт новых бланков сдвигался (в источниках 2026 г. — до 01.01.2027), но само правило «электроника с QES, кроме Form 6» удерживается.</w:t>
      </w:r>
    </w:p>
    <w:p>
      <w:r>
        <w:rPr>
          <w:rFonts w:ascii="Calibri" w:hAnsi="Calibri" w:eastAsia="Calibri"/>
          <w:b w:val="0"/>
          <w:sz w:val="24"/>
        </w:rPr>
        <w:t>Для сравнения с РФ: Сербия запретила не «все документы ОТ в ЭДО», а один ключевой регистр обучения — точечный запрет, близкий по духу ст. 22.1(3) ТК, но уже по охвату.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Электронный учёт ОТ легален при QES.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Form 6 (обучение) — бумага. Это главное исключение.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Нет найденного судебного спора именно о Form 6 — норма новая.</w:t>
      </w:r>
    </w:p>
    <w:p>
      <w:pPr>
        <w:pStyle w:val="Heading1"/>
      </w:pPr>
      <w:r>
        <w:t>3. База для сравнения: ЭДО в ОТ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РФ: согласие работника, виды ЭП, исключения.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Ч. 3 ст. 22.1 ТК РФ прямо исключает из кадрового ЭДО документы о прохождении работником инструктажа по охране труда и акты о несчастном случае на производстве.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Обучение / инструктажи по ОТ — постановление Правительства РФ от 24.12.2021 № 2464; на практике журналы инструктажей ведутся на бумаге именно из‑за исключения ст. 22.1(3).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электронной подписи — 63‑ФЗ (ПЭП / УНЭП / УКЭП). Для кадровых документов с 2022 г. — ст. 22.2–22.3 ТК.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 ч. 3 (исключения из кадрового ЭДО):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ПП РФ от 24.12.2021 № 2464 (обучение по охране труда):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Heading1"/>
      </w:pPr>
      <w:r>
        <w:t>4. Сравнение с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Сербия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 записей ОТ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Большинство форм учёта ОТ можно вести электронно при наличии квалифицированной электронной подписи. Исключение — Форма 6 (учёт обученных безопасной работе и правильному применению СИЗ) — только на бумаге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Журналы инструктажей и акты НС исключены из кадрового ЭДО (ст. 22.1 ч. 3 ТК РФ)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Подпись / форма журнала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Для электронных форм — QES. Форма 6 — печатный/бумажный учёт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практике — бумажный журнал; КЭДО на эти документы не распространяется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Доверие / система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Квалифицированный сертификат работодателя / лица, ведущего учёт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Бумажный журнал + ПП 2464; операторы КЭДО — для иных кадровых документов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Сходство с РФ: обучение/инструктаж выведены из «свободного» ЭДО.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остальные формы ОТ в Сербии можно вести электронно; в РФ исключение ст. 22.1(3) бьёт и по журналам, и по актам НС в контуре КЭДО.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 от Беларуси: там журнал электронный; здесь — бумажный остров в море электронных форм.</w:t>
      </w:r>
    </w:p>
    <w:p>
      <w:pPr>
        <w:pStyle w:val="Heading1"/>
      </w:pPr>
      <w:r>
        <w:t>5. Что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Если оставлять исключения из ЭДО, делать их точечными (как Form 6), а не широкими.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Для электронных форм ОТ сразу требовать квалифицированную подпись ответственного лица, а не «клик в LMS».</w:t>
      </w:r>
    </w:p>
    <w:p>
      <w:pPr>
        <w:pStyle w:val="Heading1"/>
      </w:pPr>
      <w:r>
        <w:t>6. Что не стоит переносить механически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объявлять сербский Form 6 доказательством того, что электронное обучение всегда юридически ничтожно — это политический выбор носителя, а не вывод суда.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Lexology: новые правилники ОТ, Form 6, электроника + QES: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https://www.lexology.com/library/detail.aspx?g=123a20c5-c0a7-425d-8c37-c9892c70dc93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DIER: электронное ведение, Form 6 на бумаге: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https://dier.rs/pravilnik-o-vodenju-i-rokovima-cuvanja-evidencija-u-oblasti-bezbednosti-i-zdravlja-na-radu-sta-donose-nove-izmene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34683/" TargetMode="External"/><Relationship Id="rId10" Type="http://schemas.openxmlformats.org/officeDocument/2006/relationships/hyperlink" Target="https://www.consultant.ru/document/cons_doc_LAW_405146/" TargetMode="External"/><Relationship Id="rId11" Type="http://schemas.openxmlformats.org/officeDocument/2006/relationships/hyperlink" Target="https://www.consultant.ru/document/cons_doc_LAW_112701/" TargetMode="External"/><Relationship Id="rId12" Type="http://schemas.openxmlformats.org/officeDocument/2006/relationships/hyperlink" Target="https://www.lexology.com/library/detail.aspx?g=123a20c5-c0a7-425d-8c37-c9892c70dc93" TargetMode="External"/><Relationship Id="rId13" Type="http://schemas.openxmlformats.org/officeDocument/2006/relationships/hyperlink" Target="https://dier.rs/pravilnik-o-vodenju-i-rokovima-cuvanja-evidencija-u-oblasti-bezbednosti-i-zdravlja-na-radu-sta-donose-nove-izme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