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F4E79"/>
          <w:sz w:val="44"/>
        </w:rPr>
        <w:t>ЭДО в охране труда: Ирландия</w:t>
      </w:r>
    </w:p>
    <w:p>
      <w:pPr>
        <w:spacing w:after="200"/>
      </w:pPr>
      <w:r>
        <w:rPr>
          <w:rFonts w:ascii="Calibri" w:hAnsi="Calibri" w:eastAsia="Calibri"/>
          <w:b w:val="0"/>
          <w:color w:val="535353"/>
          <w:sz w:val="26"/>
        </w:rPr>
        <w:t>Электронные документы обучения, инструктажа, учёта НС. Сравнение с РФ</w:t>
      </w:r>
    </w:p>
    <w:p>
      <w:pPr>
        <w:spacing w:after="240"/>
      </w:pPr>
      <w:r>
        <w:rPr>
          <w:rFonts w:ascii="Calibri" w:hAnsi="Calibri" w:eastAsia="Calibri"/>
          <w:b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pStyle w:val="Heading1"/>
      </w:pPr>
      <w:r>
        <w:t>1. Регулирование ЭДО в охране труда</w:t>
      </w:r>
    </w:p>
    <w:p>
      <w:r>
        <w:rPr>
          <w:rFonts w:ascii="Calibri" w:hAnsi="Calibri" w:eastAsia="Calibri"/>
          <w:b w:val="0"/>
          <w:sz w:val="24"/>
        </w:rPr>
        <w:t>Основные акты: Safety, Health and Welfare at Work Act 2005 (обязанность обучать и вести записи); eIDAS / ECA 2000</w:t>
      </w:r>
    </w:p>
    <w:p>
      <w:r>
        <w:rPr>
          <w:rFonts w:ascii="Calibri" w:hAnsi="Calibri" w:eastAsia="Calibri"/>
          <w:b w:val="0"/>
          <w:sz w:val="24"/>
        </w:rPr>
        <w:t>Act 2005 возлагает на работодателя обязанность обеспечить безопасность, информацию и обучение. В исках о травмах суд оценивает, проводились ли risk assessment и training по конкретной операции, а не «есть ли журнал».</w:t>
      </w:r>
    </w:p>
    <w:p>
      <w:r>
        <w:rPr>
          <w:rFonts w:ascii="Calibri" w:hAnsi="Calibri" w:eastAsia="Calibri"/>
          <w:b w:val="0"/>
          <w:sz w:val="24"/>
        </w:rPr>
        <w:t>В Redmond v Tallaght University Hospital [2024] IEHC 167 больница доказывала регулярное (раз в три года) предметное обучение manual handling. Суд принял факт обучения, но всё равно нашёл пробел в оценке рисков на этапе хранения — ответственность работодателя + 1/3 contrib. negligence. Электронный журнал в деле не был предметом спора; предметом было содержание системы работы и обучения.</w:t>
      </w:r>
    </w:p>
    <w:p>
      <w:r>
        <w:rPr>
          <w:rFonts w:ascii="Calibri" w:hAnsi="Calibri" w:eastAsia="Calibri"/>
          <w:b w:val="0"/>
          <w:sz w:val="24"/>
        </w:rPr>
        <w:t>Вывод для ЭДО в ОТ: даже идеально подписанный (бумажный или электронный) лист не спасёт, если обучение не покрывает конкретную операцию. И наоборот, электронные записи допустимы, если вместе с показаниями доказывают реальное обучение.</w:t>
      </w:r>
    </w:p>
    <w:p>
      <w:pPr>
        <w:pStyle w:val="Heading1"/>
      </w:pPr>
      <w:r>
        <w:t>2. Ключевые особенности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Нет запрета e‑записей обучения.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Доказательственный, а не формальный подход.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Ближе к Германии (содержание) , чем к Сербии (носитель Form 6).</w:t>
      </w:r>
    </w:p>
    <w:p>
      <w:pPr>
        <w:pStyle w:val="Heading1"/>
      </w:pPr>
      <w:r>
        <w:t>3. База для сравнения: ЭДО в ОТ в Российской Федерации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Кадровый ЭДО — ст. 22.1–22.3 ТК РФ: согласие работника, виды ЭП, исключения.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Ч. 3 ст. 22.1 ТК РФ прямо исключает из кадрового ЭДО документы о прохождении работником инструктажа по охране труда и акты о несчастном случае на производстве.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Обучение / инструктажи по ОТ — постановление Правительства РФ от 24.12.2021 № 2464; на практике журналы инструктажей ведутся на бумаге именно из‑за исключения ст. 22.1(3).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Юридическая сила электронной подписи — 63‑ФЗ (ПЭП / УНЭП / УКЭП). Для кадровых документов с 2022 г. — ст. 22.2–22.3 ТК.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ТК РФ, ст. 22.1 ч. 3 (исключения из кадрового ЭДО):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ПП РФ от 24.12.2021 № 2464 (обучение по охране труда):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https://www.consultant.ru/document/cons_doc_LAW_405146/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ФЗ от 06.04.2011 № 63‑ФЗ «Об электронной подписи»: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Heading1"/>
      </w:pPr>
      <w:r>
        <w:t>4. Сравнение с РФ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Ирландия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Российская Федерация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Юридическая сила записей ОТ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Закон требует обеспечить обучение и быть способным показать, что инструкция реально дана. Подпись на листке присутствия сама по себе слабое доказательство, если содержание обучения не подтверждено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Журналы инструктажей и акты НС исключены из кадрового ЭДО (ст. 22.1 ч. 3 ТК РФ)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Подпись / форма журнала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Нет требования QES на журнал инструктажа. Электронные записи допустимы по ECA s. 9, если доказывают факт обучения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На практике — бумажный журнал; КЭДО на эти документы не распространяется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Доверие / система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Внутренние записи работодателя + свидетельские показания; common law evidence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Бумажный журнал + ПП 2464; операторы КЭДО — для иных кадровых документов</w:t>
            </w:r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sz w:val="24"/>
        </w:rPr>
        <w:t>Сходство с РФ: при травме работодатель должен доказать инструктаж/обучение.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Отличие: ирландский суд не фетишизирует журнал; российский законодатель сделал журнал/акт НС исключением из КЭДО.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Отличие от Кении: нет обязательного сертификата 106B для каждой электронной записи обучения.</w:t>
      </w:r>
    </w:p>
    <w:p>
      <w:pPr>
        <w:pStyle w:val="Heading1"/>
      </w:pPr>
      <w:r>
        <w:t>5. Что можно добавить в РФ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В методиках по 2464 зафиксировать, что электронная запись инструктажа должна содержать тему, привязку к рабочему месту/операции и идентификацию, а не только «галочку».</w:t>
      </w:r>
    </w:p>
    <w:p>
      <w:pPr>
        <w:pStyle w:val="Heading1"/>
      </w:pPr>
      <w:r>
        <w:t>6. Что не стоит переносить механически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Не выдавать Redmond за дело «об электронном журнале» — это дело о содержании обучения.</w:t>
      </w:r>
    </w:p>
    <w:p>
      <w:pPr>
        <w:pStyle w:val="Heading1"/>
      </w:pPr>
      <w:r>
        <w:t>7. Источники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Redmond v Tallaght University Hospital [2024] IEHC 167: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https://www.bailii.org/ie/cases/IEHC/2024/2024IEHC167.html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SHWW Act 2005 (Irish Statute Book):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https://www.irishstatutebook.ie/eli/2005/act/10/enacted/en/html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34683/" TargetMode="External"/><Relationship Id="rId10" Type="http://schemas.openxmlformats.org/officeDocument/2006/relationships/hyperlink" Target="https://www.consultant.ru/document/cons_doc_LAW_405146/" TargetMode="External"/><Relationship Id="rId11" Type="http://schemas.openxmlformats.org/officeDocument/2006/relationships/hyperlink" Target="https://www.consultant.ru/document/cons_doc_LAW_112701/" TargetMode="External"/><Relationship Id="rId12" Type="http://schemas.openxmlformats.org/officeDocument/2006/relationships/hyperlink" Target="https://www.bailii.org/ie/cases/IEHC/2024/2024IEHC167.html" TargetMode="External"/><Relationship Id="rId13" Type="http://schemas.openxmlformats.org/officeDocument/2006/relationships/hyperlink" Target="https://www.irishstatutebook.ie/eli/2005/act/10/enacted/en/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