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color w:val="1F4E79"/>
          <w:sz w:val="44"/>
        </w:rPr>
        <w:t>ЭДО в охране труда: Кения</w:t>
      </w:r>
    </w:p>
    <w:p>
      <w:pPr>
        <w:spacing w:after="200"/>
      </w:pPr>
      <w:r>
        <w:rPr>
          <w:rFonts w:ascii="Calibri" w:hAnsi="Calibri" w:eastAsia="Calibri"/>
          <w:b w:val="0"/>
          <w:color w:val="535353"/>
          <w:sz w:val="26"/>
        </w:rPr>
        <w:t>Электронные документы обучения, инструктажа, учёта НС. Сравнение с РФ</w:t>
      </w:r>
    </w:p>
    <w:p>
      <w:pPr>
        <w:spacing w:after="240"/>
      </w:pPr>
      <w:r>
        <w:rPr>
          <w:rFonts w:ascii="Calibri" w:hAnsi="Calibri" w:eastAsia="Calibri"/>
          <w:b w:val="0"/>
          <w:color w:val="535353"/>
          <w:sz w:val="22"/>
        </w:rPr>
        <w:t>Сравнительный анализ зарубежного регулирования электронного документооборота (ЭДО) с правовой моделью Российской Федерации. Актуализация: август 2026 г.</w:t>
      </w:r>
    </w:p>
    <w:p>
      <w:pPr>
        <w:pStyle w:val="Heading1"/>
      </w:pPr>
      <w:r>
        <w:t>1. Регулирование ЭДО в охране труда</w:t>
      </w:r>
    </w:p>
    <w:p>
      <w:r>
        <w:rPr>
          <w:rFonts w:ascii="Calibri" w:hAnsi="Calibri" w:eastAsia="Calibri"/>
          <w:b w:val="0"/>
          <w:sz w:val="24"/>
        </w:rPr>
        <w:t>Основные акты: Occupational Safety and Health Act, 2007 (обязанность occupier обучать, регистрировать травмы — ss. 6, 21, 99, 101, 122); DOSHS — постепенный перевод части отчётности в онлайн; Evidence Act 106B для суда</w:t>
      </w:r>
    </w:p>
    <w:p>
      <w:r>
        <w:rPr>
          <w:rFonts w:ascii="Calibri" w:hAnsi="Calibri" w:eastAsia="Calibri"/>
          <w:b w:val="0"/>
          <w:sz w:val="24"/>
        </w:rPr>
        <w:t>OSHA 2007: occupier обеспечивает безопасную среду (s. 6), уведомляет о НС (s. 21), обучает (s. 99), выдаёт СИЗ (s. 101), ведёт general register (s. 122). Это бумажно‑ориентированный закон 2007 г. с точечной цифровизацией отчётности DOSHS.</w:t>
      </w:r>
    </w:p>
    <w:p>
      <w:r>
        <w:rPr>
          <w:rFonts w:ascii="Calibri" w:hAnsi="Calibri" w:eastAsia="Calibri"/>
          <w:b w:val="0"/>
          <w:sz w:val="24"/>
        </w:rPr>
        <w:t>Bigot Flowers (Kenya) Ltd v Cheboswony [2022] KEELRC 3772 (KLR): работник порезал ноги на теплице. Иск строился в т.ч. на неисполнении s. 99 (не обучил / не поставил достаточно обученного работника) и s. 6 (нет надзора). Это классическая OT‑практика про факт обучения, не про электронный журнал.</w:t>
      </w:r>
    </w:p>
    <w:p>
      <w:r>
        <w:rPr>
          <w:rFonts w:ascii="Calibri" w:hAnsi="Calibri" w:eastAsia="Calibri"/>
          <w:b w:val="0"/>
          <w:sz w:val="24"/>
        </w:rPr>
        <w:t>Если бы обучение фиксировалось в LMS, в ELRC, скорее всего, встал бы вопрос 106B: без сертификата электронный журнал могут не допустить — даже если KICA считает подпись равной wet ink.</w:t>
      </w:r>
    </w:p>
    <w:p>
      <w:pPr>
        <w:pStyle w:val="Heading1"/>
      </w:pPr>
      <w:r>
        <w:t>2. Ключевые особенности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Жёсткие обязанности OSHA + молчание об e‑журнале.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Суды ELRC смотрят на СИЗ, обучение, надзор.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Электронный учёт в процессе упирается в 106B.</w:t>
      </w:r>
    </w:p>
    <w:p>
      <w:pPr>
        <w:pStyle w:val="Heading1"/>
      </w:pPr>
      <w:r>
        <w:t>3. База для сравнения: ЭДО в ОТ в Российской Федерации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Кадровый ЭДО — ст. 22.1–22.3 ТК РФ: согласие работника, виды ЭП, исключения.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Ч. 3 ст. 22.1 ТК РФ прямо исключает из кадрового ЭДО документы о прохождении работником инструктажа по охране труда и акты о несчастном случае на производстве.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Обучение / инструктажи по ОТ — постановление Правительства РФ от 24.12.2021 № 2464; на практике журналы инструктажей ведутся на бумаге именно из‑за исключения ст. 22.1(3).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Юридическая сила электронной подписи — 63‑ФЗ (ПЭП / УНЭП / УКЭП). Для кадровых документов с 2022 г. — ст. 22.2–22.3 ТК.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ТК РФ, ст. 22.1 ч. 3 (исключения из кадрового ЭДО): </w:t>
      </w:r>
      <w:hyperlink r:id="rId9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https://www.consultant.ru/document/cons_doc_LAW_34683/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ПП РФ от 24.12.2021 № 2464 (обучение по охране труда): </w:t>
      </w:r>
      <w:hyperlink r:id="rId10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https://www.consultant.ru/document/cons_doc_LAW_405146/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ФЗ от 06.04.2011 № 63‑ФЗ «Об электронной подписи»: </w:t>
      </w:r>
      <w:hyperlink r:id="rId11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https://www.consultant.ru/document/cons_doc_LAW_112701/</w:t>
        </w:r>
      </w:hyperlink>
    </w:p>
    <w:p>
      <w:pPr>
        <w:pStyle w:val="Heading1"/>
      </w:pPr>
      <w:r>
        <w:t>4. Сравнение с РФ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3175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Кения</w:t>
            </w:r>
          </w:p>
        </w:tc>
        <w:tc>
          <w:tcPr>
            <w:tcW w:type="dxa" w:w="3175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Российская Федерация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Юридическая сила записей ОТ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OSHA требует обучать, инструктировать, выдавать СИЗ и вести general register травм. Закон молчит об «электронном журнале инструктажа». В суде электронные записи OSHA будут проходить через 106B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Журналы инструктажей и акты НС исключены из кадрового ЭДО (ст. 22.1 ч. 3 ТК РФ)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Подпись / форма журнала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Нет eIDAS‑иерархии. Для суда важнее 106B, чем вид клика в системе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На практике — бумажный журнал; КЭДО на эти документы не распространяется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Доверие / система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DOSHS / внутренние регистры; при споре — ELRC + Evidence Act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Бумажный журнал + ПП 2464; операторы КЭДО — для иных кадровых документов</w:t>
            </w:r>
          </w:p>
        </w:tc>
      </w:tr>
    </w:tbl>
    <w:p/>
    <w:p>
      <w:pPr>
        <w:pStyle w:val="ListBullet"/>
      </w:pPr>
      <w:r>
        <w:rPr>
          <w:rFonts w:ascii="Calibri" w:hAnsi="Calibri" w:eastAsia="Calibri"/>
          <w:b w:val="0"/>
          <w:sz w:val="24"/>
        </w:rPr>
        <w:t>Сходство с РФ: обучение и учёт НС — отдельные обязанности; цифровизация отчётности не равна легализации журнала.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Отличие: в РФ запрет журналов в КЭДО прямой (ст. 22.1(3)); в Кении запрета нет, но судебный вход для e‑записей узкий.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Отличие от Беларуси: там журнал электронный по норме ОТ; здесь норма ОТ молчит, процесс требует сертификат.</w:t>
      </w:r>
    </w:p>
    <w:p>
      <w:pPr>
        <w:pStyle w:val="Heading1"/>
      </w:pPr>
      <w:r>
        <w:t>5. Что можно добавить в РФ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Если вводить электронный журнал, сразу прописать, какой «конверт» делает его допустимым в суде — иначе получится кенийский эффект 106B.</w:t>
      </w:r>
    </w:p>
    <w:p>
      <w:pPr>
        <w:pStyle w:val="Heading1"/>
      </w:pPr>
      <w:r>
        <w:t>6. Что не стоит переносить механически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Не считать онлайн‑форму DOSHS доказательством, что все журналы ОТ уже электронные.</w:t>
      </w:r>
    </w:p>
    <w:p>
      <w:pPr>
        <w:pStyle w:val="Heading1"/>
      </w:pPr>
      <w:r>
        <w:t>7. Источники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OSHA 2007 (Kenya Law): </w:t>
      </w:r>
      <w:hyperlink r:id="rId12">
        <w:r>
          <w:rPr>
            <w:color w:val="0563C1"/>
            <w:u w:val="single"/>
            <w:sz w:val="22"/>
            <w:rFonts w:ascii="Calibri" w:hAnsi="Calibri"/>
          </w:rPr>
          <w:t xml:space="preserve">https://new.kenyalaw.org/akn/ke/act/2007/15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Bigot Flowers v Cheboswony [2022] KEELRC 3772: </w:t>
      </w:r>
      <w:hyperlink r:id="rId13">
        <w:r>
          <w:rPr>
            <w:color w:val="0563C1"/>
            <w:u w:val="single"/>
            <w:sz w:val="22"/>
            <w:rFonts w:ascii="Calibri" w:hAnsi="Calibri"/>
          </w:rPr>
          <w:t xml:space="preserve">https://sheriahub.com/cases/ke/caselaw/bigot-flowers-kenya-ltd-v-cheboswony-employment-and-labour-relations-appeal-10of-2018-2022-keelrc-3772-klr-10may-2022-judgment.pdf</w:t>
        </w:r>
      </w:hyperlink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onsultant.ru/document/cons_doc_LAW_34683/" TargetMode="External"/><Relationship Id="rId10" Type="http://schemas.openxmlformats.org/officeDocument/2006/relationships/hyperlink" Target="https://www.consultant.ru/document/cons_doc_LAW_405146/" TargetMode="External"/><Relationship Id="rId11" Type="http://schemas.openxmlformats.org/officeDocument/2006/relationships/hyperlink" Target="https://www.consultant.ru/document/cons_doc_LAW_112701/" TargetMode="External"/><Relationship Id="rId12" Type="http://schemas.openxmlformats.org/officeDocument/2006/relationships/hyperlink" Target="https://new.kenyalaw.org/akn/ke/act/2007/15" TargetMode="External"/><Relationship Id="rId13" Type="http://schemas.openxmlformats.org/officeDocument/2006/relationships/hyperlink" Target="https://sheriahub.com/cases/ke/caselaw/bigot-flowers-kenya-ltd-v-cheboswony-employment-and-labour-relations-appeal-10of-2018-2022-keelrc-3772-klr-10may-2022-judgment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