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rFonts w:ascii="Calibri" w:hAnsi="Calibri" w:eastAsia="Calibri"/>
          <w:b/>
          <w:color w:val="1F4E79"/>
          <w:sz w:val="44"/>
        </w:rPr>
        <w:t>Франция: судебная практика — ЭДО в целом</w:t>
      </w:r>
    </w:p>
    <w:p>
      <w:pPr>
        <w:spacing w:after="200"/>
      </w:pPr>
      <w:r>
        <w:rPr>
          <w:rFonts w:ascii="Calibri" w:hAnsi="Calibri" w:eastAsia="Calibri"/>
          <w:b w:val="0"/>
          <w:color w:val="535353"/>
          <w:sz w:val="26"/>
        </w:rPr>
        <w:t>Cass. civ. 3e, 5 mars 2026, n° 24‑21.034 (ECLI:FR:CCASS:2026:C300142)</w:t>
      </w:r>
    </w:p>
    <w:p>
      <w:pPr>
        <w:spacing w:after="240"/>
      </w:pPr>
      <w:r>
        <w:rPr>
          <w:rFonts w:ascii="Calibri" w:hAnsi="Calibri" w:eastAsia="Calibri"/>
          <w:b w:val="0"/>
          <w:color w:val="535353"/>
          <w:sz w:val="22"/>
        </w:rPr>
        <w:t>Сравнительный анализ зарубежного регулирования электронного документооборота (ЭДО) с правовой моделью Российской Федерации. Актуализация: август 2026 г.</w:t>
      </w:r>
    </w:p>
    <w:p>
      <w:r>
        <w:rPr>
          <w:rFonts w:ascii="Calibri" w:hAnsi="Calibri" w:eastAsia="Calibri"/>
          <w:b w:val="0"/>
          <w:sz w:val="24"/>
        </w:rPr>
        <w:t>Ниже — опубликованная практика по электронным документам / подписи. Цитата и ссылки проверяемые.</w:t>
      </w:r>
    </w:p>
    <w:p>
      <w:pPr>
        <w:pStyle w:val="Heading1"/>
      </w:pPr>
      <w:r>
        <w:t>1. Реквизиты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62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Поле</w:t>
            </w:r>
          </w:p>
        </w:tc>
        <w:tc>
          <w:tcPr>
            <w:tcW w:type="dxa" w:w="4762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Значение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Страна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Франция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Суд / орган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Cour de cassation, 3e chambre civile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Цитата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Cass. civ. 3e, 5 mars 2026, n° 24‑21.034 (ECLI:FR:CCASS:2026:C300142)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Сюжет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Презумпция надёжности электронной подписи — только если это QES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Статус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Прямая практика по ЭДО / электронным доказательствам</w:t>
            </w:r>
          </w:p>
        </w:tc>
      </w:tr>
    </w:tbl>
    <w:p/>
    <w:p>
      <w:pPr>
        <w:pStyle w:val="Heading1"/>
      </w:pPr>
      <w:r>
        <w:t>2. Фабула</w:t>
      </w:r>
    </w:p>
    <w:p>
      <w:r>
        <w:rPr>
          <w:rFonts w:ascii="Calibri" w:hAnsi="Calibri" w:eastAsia="Calibri"/>
          <w:b w:val="0"/>
          <w:sz w:val="24"/>
        </w:rPr>
        <w:t>Спор о договоре найма, подписанном электронной подписью. Арендатор отрицал, что подписывал. Апелляция Aix‑en‑Provence сочла подпись надёжной, потому что арендатор не доказал кражу удостоверений; к договору был приложен certificat de preuve провайдера.</w:t>
      </w:r>
    </w:p>
    <w:p>
      <w:pPr>
        <w:pStyle w:val="Heading1"/>
      </w:pPr>
      <w:r>
        <w:t>3. Правовая позиция</w:t>
      </w:r>
    </w:p>
    <w:p>
      <w:r>
        <w:rPr>
          <w:rFonts w:ascii="Calibri" w:hAnsi="Calibri" w:eastAsia="Calibri"/>
          <w:b w:val="0"/>
          <w:sz w:val="24"/>
        </w:rPr>
        <w:t>Кассация отменила решение: судьи не проверили, реализовывал ли способ квалифицированную электронную подпись — единственную, которая даёт презумпцию надёжности до доказательства противного (CC 1366–1367, décret 2017‑1416, eIDAS arts. 26, 28, 29). Без этого вывода бремя нельзя перекладывать на того, кто отрицает подпись.</w:t>
      </w:r>
    </w:p>
    <w:p>
      <w:pPr>
        <w:pStyle w:val="Heading1"/>
      </w:pPr>
      <w:r>
        <w:t>4. Значение для НИР (ЭДО / ОТ / РФ)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«Сертификат провайдера» ≠ автоматически QES.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Для российского ЭДО: акт оператора / простой ПЭП не должен получать презумпцию УКЭП.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Дело гражданское (наём жилья), но доктрина подписи общая.</w:t>
      </w:r>
    </w:p>
    <w:p>
      <w:pPr>
        <w:pStyle w:val="Heading1"/>
      </w:pPr>
      <w:r>
        <w:t>5. Источники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Legalis: arrêt 5 mars 2026: </w:t>
      </w:r>
      <w:hyperlink r:id="rId9">
        <w:r>
          <w:rPr>
            <w:color w:val="0563C1"/>
            <w:u w:val="single"/>
            <w:sz w:val="22"/>
            <w:rFonts w:ascii="Calibri" w:hAnsi="Calibri"/>
          </w:rPr>
          <w:t xml:space="preserve">https://www.legalis.net/jurisprudences/cour-de-cassation-civile-ch-civile-3-arret-du-5-mars-2026/</w:t>
        </w:r>
      </w:hyperlink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Doctrine: n° 24‑21.034: </w:t>
      </w:r>
      <w:hyperlink r:id="rId10">
        <w:r>
          <w:rPr>
            <w:color w:val="0563C1"/>
            <w:u w:val="single"/>
            <w:sz w:val="22"/>
            <w:rFonts w:ascii="Calibri" w:hAnsi="Calibri"/>
          </w:rPr>
          <w:t xml:space="preserve">https://www.doctrine.fr/d/CASS/2026/CASSP5F27671B4851EF0B45AF</w:t>
        </w:r>
      </w:hyperlink>
    </w:p>
    <w:sectPr w:rsidR="00FC693F" w:rsidRPr="0006063C" w:rsidSect="00034616"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40" w:lineRule="auto"/>
    </w:pPr>
    <w:rPr>
      <w:rFonts w:ascii="Calibri" w:hAnsi="Calibri" w:eastAsia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Calibri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egalis.net/jurisprudences/cour-de-cassation-civile-ch-civile-3-arret-du-5-mars-2026/" TargetMode="External"/><Relationship Id="rId10" Type="http://schemas.openxmlformats.org/officeDocument/2006/relationships/hyperlink" Target="https://www.doctrine.fr/d/CASS/2026/CASSP5F27671B4851EF0B45A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