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Испания: судебная практика — ЭДО в охране труда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LPRL art. 19 + режим LEC 326.4 / eIDAS для трудовых электронных документов (аналогия)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r>
        <w:rPr>
          <w:rFonts w:ascii="Calibri" w:hAnsi="Calibri" w:eastAsia="Calibri"/>
          <w:b/>
          <w:color w:val="1F4E79"/>
          <w:sz w:val="22"/>
        </w:rPr>
        <w:t xml:space="preserve">Пометка о статусе практики. </w:t>
      </w:r>
      <w:r>
        <w:rPr>
          <w:rFonts w:ascii="Calibri" w:hAnsi="Calibri" w:eastAsia="Calibri"/>
          <w:b w:val="0"/>
          <w:color w:val="535353"/>
          <w:sz w:val="22"/>
        </w:rPr>
        <w:t>Это аналогия: отдельного опубликованного решения именно об «электронном журнале инструктажа / электронном документе ОТ» не найдено. Ниже — ближайшая реальная практика (или связка нормы ОТ и процессуальных правил ЭДО). Номера дел не вымышлены.</w:t>
      </w:r>
    </w:p>
    <w:p>
      <w:pPr>
        <w:pStyle w:val="Heading1"/>
      </w:pPr>
      <w: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Страна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Испания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Суд / орган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Трудовые суды / комментарии DGE и LEX; прямого «дела об электронном журнале инструктажа» не найдено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Цитата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LPRL art. 19 + режим LEC 326.4 / eIDAS для трудовых электронных документов (аналогия)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Сюжет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Аналогия: обучение по art. 19 LPRL доказывается по общим правилам электронных документов, запрета e‑журнала нет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Статус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Аналогия (ближайшая практика)</w:t>
            </w:r>
          </w:p>
        </w:tc>
      </w:tr>
    </w:tbl>
    <w:p/>
    <w:p>
      <w:pPr>
        <w:pStyle w:val="Heading1"/>
      </w:pPr>
      <w:r>
        <w:t>2. Фабула</w:t>
      </w:r>
    </w:p>
    <w:p>
      <w:r>
        <w:rPr>
          <w:rFonts w:ascii="Calibri" w:hAnsi="Calibri" w:eastAsia="Calibri"/>
          <w:b w:val="0"/>
          <w:sz w:val="24"/>
        </w:rPr>
        <w:t>Испанские споры по ОТ обычно про то, было ли обучение достаточным и адекватным рискам, а не про носитель журнала. Отдельного решения TS «электронный журнал инструктажа ничтожен / действителен» не обнаружено.</w:t>
      </w:r>
    </w:p>
    <w:p>
      <w:pPr>
        <w:pStyle w:val="Heading1"/>
      </w:pPr>
      <w:r>
        <w:t>3. Правовая позиция</w:t>
      </w:r>
    </w:p>
    <w:p>
      <w:r>
        <w:rPr>
          <w:rFonts w:ascii="Calibri" w:hAnsi="Calibri" w:eastAsia="Calibri"/>
          <w:b w:val="0"/>
          <w:sz w:val="24"/>
        </w:rPr>
        <w:t>Работодатель обязан обеспечить и быть способным доказать формирование по art. 19 LPRL. Электронная подпись трудовых документов признаётся, если идентифицирует автора и сохраняет целостность; скан подписи — нет. Если учёт обучения ведётся через квалифицированный сервис, оспаривание записи попадает под LEC 326.4. Иначе — свободная оценка, как у любых электронных следов.</w:t>
      </w:r>
    </w:p>
    <w:p>
      <w:pPr>
        <w:pStyle w:val="Heading1"/>
      </w:pPr>
      <w:r>
        <w:t>4. Значение для НИР (ЭДО / ОТ / РФ)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Аналогия: применяем общие правила ЭДО и презумпцию 326.4 к документам ОТ.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Контраст с РФ: нет статутного вывода журналов из ЭДО.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Контраст с Сербией: нет «Form 6 только бумага».</w:t>
      </w:r>
    </w:p>
    <w:p>
      <w:pPr>
        <w:pStyle w:val="Heading1"/>
      </w:pPr>
      <w:r>
        <w:t>5.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LPRL 31/1995: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https://www.boe.es/buscar/act.php?id=BOE-A-1995-24292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LEX/AHK: ЭП в трудовых отношениях: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https://lex.ahk.es/actualidad-juridica/puede-la-empresa-emplear-la-firma-electronica-en-el-ambito-laboral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oe.es/buscar/act.php?id=BOE-A-1995-24292" TargetMode="External"/><Relationship Id="rId10" Type="http://schemas.openxmlformats.org/officeDocument/2006/relationships/hyperlink" Target="https://lex.ahk.es/actualidad-juridica/puede-la-empresa-emplear-la-firma-electronica-en-el-ambito-labor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