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Сравнение семи стран между собой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Германия, Беларусь, Сербия, Испания, Ирландия, Франция, Кения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Зачем сравнивать именно эту семёрку</w:t>
      </w:r>
    </w:p>
    <w:p>
      <w:r>
        <w:rPr>
          <w:rFonts w:ascii="Calibri" w:hAnsi="Calibri" w:eastAsia="Calibri"/>
          <w:b w:val="0"/>
          <w:sz w:val="24"/>
        </w:rPr>
        <w:t>Семёрка закрывает четыре модели, которых не хватало в предыдущем комплекте (ЕС как блок, UK, США, Сингапур, Китай, Казахстан): национальные слои eIDAS (DE/ES/IE/FR), eIDAS‑подобный кандидат (RS), PKI‑ЭЦП ЕАЭС (BY), UNCITRAL + жёсткий доказательственный фильтр (KE).</w:t>
      </w:r>
    </w:p>
    <w:p>
      <w:pPr>
        <w:pStyle w:val="Heading1"/>
      </w:pPr>
      <w:r>
        <w:t>2. Чем похожи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Все семь признают электронный документ / электронную подпись: нигде электронная форма сама по себе не делает акт ничтожным.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Везде есть «верхний» уровень подписи, близкий к собственноручной: QES (DE, ES, IE, FR, RS) или ЭЦП / advanced e‑signature (BY, KE).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Ни в одной из семи нет найденного «громкого» прецедента именно про электронный журнал инструктажа как самостоятельный предмет иска — суды спорят о подписи, допустимости файла и факте обучения.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Во всех юрисдикциях после травмы/НС работодатель фактически должен уметь доказать обучение/инструктаж/меры, независимо от носителя.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Скан картинки подписи нигде не считается полноценной квалифицированной / advanced электронной подписью (прямо — Франция 21‑19.841; по смыслу — eIDAS, 113‑З, KICA).</w:t>
      </w:r>
    </w:p>
    <w:p>
      <w:pPr>
        <w:pStyle w:val="Heading1"/>
      </w:pPr>
      <w:r>
        <w:t>3. Чем различаются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Страна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Модель ЭДО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ЭДО в ОТ / журнал обучения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Судебный акцент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Германия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eIDAS + BGB‑формы; с 2025 Textform в кадрах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Подпись на Unterweisung не обязательна; важен содержание и оценка рисков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Zugang QES (BGH 2024); содержание инструктажа (BAG 2011)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Беларусь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Закон 113‑З, государственная ЭЦП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Прямо разрешён электронный журнал (п. 35 Инстр. 175)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84 ХПК: эл. документ = письменное доказательство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Сербия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eIDAS‑подобный закон; трудовой формализм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Электроника форм ОТ с QES, но Form 6 (обучение) — бумага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Без QES процессуальный документ «не подан»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Испания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eIDAS + LEC 326.4 (презумпция QTSP)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Запрета e‑учёта обучения нет; art. 19 LPRL — содержание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Два режима: презумпция QTSP и мягкие pantallazos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Ирландия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ECA 2000 s. 9 + eIDAS; common law consent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Запрета нет; суд проверяет реальность обучения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Click‑wrap (Ryanair); training as safety duty (Redmond)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Франция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CC 1366–1367; презумпция только у QES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Запрета нет; бремя мер L.4121 на работодателе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Cass. 2026 — нет презумпции без QES; Cass. 2024 — бремя ОТ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Кения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KICA 83P + Evidence Act 106B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OSHA молчит об e‑журнале; в суде — 106B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Без сертификата 106B электронная запись снимается</w:t>
            </w:r>
          </w:p>
        </w:tc>
      </w:tr>
    </w:tbl>
    <w:p/>
    <w:p>
      <w:pPr>
        <w:pStyle w:val="Heading1"/>
      </w:pPr>
      <w:r>
        <w:t>4. Кластеры</w:t>
      </w:r>
    </w:p>
    <w:p>
      <w:r>
        <w:rPr>
          <w:rFonts w:ascii="Calibri" w:hAnsi="Calibri" w:eastAsia="Calibri"/>
          <w:b w:val="0"/>
          <w:sz w:val="24"/>
        </w:rPr>
        <w:t>Кластер A — ЕС‑четвёрка (Германия, Испания, Ирландия, Франция). Общий eIDAS, разный национальный слой. Германия смягчает трудовую форму (Textform) и не требует подписи на инструктаже. Испания даёт самую удобную процессуальную презумпцию квалифицированному сервису. Франция — самая строгая презумпция (только QES) и отдельно бьёт по скану подписи. Ирландия добавляет common law: согласие и notice важнее сертификата.</w:t>
      </w:r>
    </w:p>
    <w:p>
      <w:r>
        <w:rPr>
          <w:rFonts w:ascii="Calibri" w:hAnsi="Calibri" w:eastAsia="Calibri"/>
          <w:b w:val="0"/>
          <w:sz w:val="24"/>
        </w:rPr>
        <w:t>Кластер B — Сербия. Закон об ЭДО как в ЕС, суды формалистичны по QES, а правилник 2025 г. вывел учёт обучения (Form 6) на бумагу. Это «электронная ОТ минус журнал обучения».</w:t>
      </w:r>
    </w:p>
    <w:p>
      <w:r>
        <w:rPr>
          <w:rFonts w:ascii="Calibri" w:hAnsi="Calibri" w:eastAsia="Calibri"/>
          <w:b w:val="0"/>
          <w:sz w:val="24"/>
        </w:rPr>
        <w:t>Кластер C — Беларусь. PKI как в РФ/Казахстане, но п. 35 Инструкции № 175 прямо легализует электронный журнал. Это единственный в семёрке положительный статутный образец для журналов инструктажа.</w:t>
      </w:r>
    </w:p>
    <w:p>
      <w:r>
        <w:rPr>
          <w:rFonts w:ascii="Calibri" w:hAnsi="Calibri" w:eastAsia="Calibri"/>
          <w:b w:val="0"/>
          <w:sz w:val="24"/>
        </w:rPr>
        <w:t>Кластер D — Кения. Подпись может равняться wet ink, но суд не примет электронную запись без 106B. ОТ‑закон 2007 г. про обучение молчит о носителе. Цифровизация без доказательственного конверта здесь опаснее, чем в ЕС.</w:t>
      </w:r>
    </w:p>
    <w:p>
      <w:pPr>
        <w:pStyle w:val="Heading1"/>
      </w:pPr>
      <w:r>
        <w:t>5. Шкала «можно ли вести журнал обучения / инструктажа электронно»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Явно да, специальной нормой: Беларусь (п. 35 Инстр. 175).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Фактически да, потому что закон не требует подписи журнала: Германия (§ 12 ArbSchG).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Да через общие правила ЭДО / eIDAS, без запрета: Испания, Ирландия, Франция.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Да для большинства форм ОТ, нет для учёта обучения: Сербия (Form 6).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Закон молчит, суд может не допустить e‑запись без сертификата: Кения.</w:t>
      </w:r>
    </w:p>
    <w:p>
      <w:pPr>
        <w:pStyle w:val="Heading1"/>
      </w:pPr>
      <w:r>
        <w:t>6. Источники (сводные)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eIDAS (EU) 910/2014: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https://eur-lex.europa.eu/legal-content/EN/TXT/?uri=CELEX:32014R0910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BAG 1 ABR 104/09 (11.01.2011):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https://www.bundesarbeitsgericht.de/entscheidung/1-abr-104-09/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Закон РБ № 113‑З, ст. 22: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https://zakony-by.com/zakon_rb_ob_elektronnom_dokumente_i_elektronnoj_tsifrovoj_podpisi/22.htm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Инструкция № 175, актуальный PDF Минтруда (п. 35):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Подача жалобы e‑mail / QES, Конституционный суд, XI.2023 (обзор PR Legal):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https://www.prlegal.rs/filing-a-complaint-via-email-yes-it-is-possible/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Lexology: новые правилники ОТ, Form 6, электроника + QES: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https://www.lexology.com/library/detail.aspx?g=123a20c5-c0a7-425d-8c37-c9892c70dc93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Ley 6/2020 (BOE) — правка LEC 326: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https://www.boe.es/eli/es/l/2020/11/11/6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LPRL 31/1995 (BOE):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https://www.boe.es/buscar/act.php?id=BOE-A-1995-24292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ECA 2000, section 9: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 xml:space="preserve">https://www.irishstatutebook.ie/eli/2000/act/27/section/9/enacted/en/html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Redmond v Tallaght University Hospital [2024] IEHC 167: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https://www.bailii.org/ie/cases/IEHC/2024/2024IEHC167.html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Cass. 3e civ., 5 mars 2026, n° 24‑21.034 (Legalis): </w:t>
      </w:r>
      <w:hyperlink r:id="rId19">
        <w:r>
          <w:rPr>
            <w:color w:val="0563C1"/>
            <w:u w:val="single"/>
            <w:sz w:val="22"/>
            <w:rFonts w:ascii="Calibri" w:hAnsi="Calibri"/>
          </w:rPr>
          <w:t xml:space="preserve">https://www.legalis.net/jurisprudences/cour-de-cassation-civile-ch-civile-3-arret-du-5-mars-2026/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Cass. soc. 28.02.2024, n° 22‑15.624 (обзор): </w:t>
      </w:r>
      <w:hyperlink r:id="rId20">
        <w:r>
          <w:rPr>
            <w:color w:val="0563C1"/>
            <w:u w:val="single"/>
            <w:sz w:val="22"/>
            <w:rFonts w:ascii="Calibri" w:hAnsi="Calibri"/>
          </w:rPr>
          <w:t xml:space="preserve">https://www.lemag-juridique.com/articles/responsabilite-preuve-manquement-lemployeur-regles-prevention-securite-lorigine-laccident-travail-salarie-6418.htm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[2025] KEELC 392 (Kenya Law): </w:t>
      </w:r>
      <w:hyperlink r:id="rId21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https://new.kenyalaw.org/akn/ke/judgment/keelc/2025/392/eng@2025-02-06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OSHA 2007 (Kenya Law): </w:t>
      </w:r>
      <w:hyperlink r:id="rId22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https://new.kenyalaw.org/akn/ke/act/2007/15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ur-lex.europa.eu/legal-content/EN/TXT/?uri=CELEX:32014R0910" TargetMode="External"/><Relationship Id="rId10" Type="http://schemas.openxmlformats.org/officeDocument/2006/relationships/hyperlink" Target="https://www.bundesarbeitsgericht.de/entscheidung/1-abr-104-09/" TargetMode="External"/><Relationship Id="rId11" Type="http://schemas.openxmlformats.org/officeDocument/2006/relationships/hyperlink" Target="https://zakony-by.com/zakon_rb_ob_elektronnom_dokumente_i_elektronnoj_tsifrovoj_podpisi/22.htm" TargetMode="External"/><Relationship Id="rId12" Type="http://schemas.openxmlformats.org/officeDocument/2006/relationships/hyperlink" Target="https://www.mintrud.gov.by/uploads/files/MTiSZ-175-po-sost.-na-02.09.2024.pdf" TargetMode="External"/><Relationship Id="rId13" Type="http://schemas.openxmlformats.org/officeDocument/2006/relationships/hyperlink" Target="https://www.prlegal.rs/filing-a-complaint-via-email-yes-it-is-possible/" TargetMode="External"/><Relationship Id="rId14" Type="http://schemas.openxmlformats.org/officeDocument/2006/relationships/hyperlink" Target="https://www.lexology.com/library/detail.aspx?g=123a20c5-c0a7-425d-8c37-c9892c70dc93" TargetMode="External"/><Relationship Id="rId15" Type="http://schemas.openxmlformats.org/officeDocument/2006/relationships/hyperlink" Target="https://www.boe.es/eli/es/l/2020/11/11/6" TargetMode="External"/><Relationship Id="rId16" Type="http://schemas.openxmlformats.org/officeDocument/2006/relationships/hyperlink" Target="https://www.boe.es/buscar/act.php?id=BOE-A-1995-24292" TargetMode="External"/><Relationship Id="rId17" Type="http://schemas.openxmlformats.org/officeDocument/2006/relationships/hyperlink" Target="https://www.irishstatutebook.ie/eli/2000/act/27/section/9/enacted/en/html" TargetMode="External"/><Relationship Id="rId18" Type="http://schemas.openxmlformats.org/officeDocument/2006/relationships/hyperlink" Target="https://www.bailii.org/ie/cases/IEHC/2024/2024IEHC167.html" TargetMode="External"/><Relationship Id="rId19" Type="http://schemas.openxmlformats.org/officeDocument/2006/relationships/hyperlink" Target="https://www.legalis.net/jurisprudences/cour-de-cassation-civile-ch-civile-3-arret-du-5-mars-2026/" TargetMode="External"/><Relationship Id="rId20" Type="http://schemas.openxmlformats.org/officeDocument/2006/relationships/hyperlink" Target="https://www.lemag-juridique.com/articles/responsabilite-preuve-manquement-lemployeur-regles-prevention-securite-lorigine-laccident-travail-salarie-6418.htm" TargetMode="External"/><Relationship Id="rId21" Type="http://schemas.openxmlformats.org/officeDocument/2006/relationships/hyperlink" Target="https://new.kenyalaw.org/akn/ke/judgment/keelc/2025/392/eng@2025-02-06" TargetMode="External"/><Relationship Id="rId22" Type="http://schemas.openxmlformats.org/officeDocument/2006/relationships/hyperlink" Target="https://new.kenyalaw.org/akn/ke/act/2007/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