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Глоссарий иностранных терминов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Расшифровка слов и аббревиатур из сводной таблицы НИР по ЭДО (август 2026)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Как пользоваться</w:t>
      </w:r>
    </w:p>
    <w:p>
      <w:r>
        <w:rPr>
          <w:rFonts w:ascii="Calibri" w:hAnsi="Calibri" w:eastAsia="Calibri"/>
          <w:b w:val="0"/>
          <w:i w:val="0"/>
          <w:sz w:val="24"/>
        </w:rPr>
        <w:t>Этот файл дополняет СВОДНАЯ_ТАБЛИЦА_НИР_ЭДО.xlsx. Если в таблице встретили sufficient record, goal-setting, Unterweisung, QES, audit trail и т.п. — ищите термин здесь или в Excel‑версии с тем же именем. Жирным в таблице ниже — сам термин; расшифровка — простым русским языком.</w:t>
      </w:r>
    </w:p>
    <w:p>
      <w:r>
        <w:rPr>
          <w:rFonts w:ascii="Calibri" w:hAnsi="Calibri" w:eastAsia="Calibri"/>
          <w:b w:val="0"/>
          <w:i w:val="0"/>
          <w:sz w:val="24"/>
        </w:rPr>
        <w:t>Важно: многие английские слова в таблице — не названия статей закона, а сжатые формулы составителя. Пример: sufficient record — не цитата MHSWR; suitable and sufficient в regulation 3 — про оценку рисков.</w:t>
      </w:r>
    </w:p>
    <w:p>
      <w:pPr>
        <w:pStyle w:val="Heading1"/>
      </w:pPr>
      <w:r>
        <w:t>Подпись и ЭДО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eIDAS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Регламент (EU) № 910/2014 об электронной идентификации и услугах доверия. Задаёт уровни подписи SES/AES/QES и правила их признания внутри ЕС.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 об ЭП; иерархия ПЭП / УНЭП / УКЭП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ЕС, Испания, Франция, Ирландия, Сербия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eIDAS 2.0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Обновление eIDAS — регламент (EU) 2024/1183: европейский кошелёк цифровой идентичности (EUDI Wallet), квалифицированное архивирование, электронные реестры.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315‑ФЗ, развитие инфраструктуры УЦ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ЕС, ось «Инфраструктура доверия»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Simple Electronic Signature — простая электронная подпись: логин, SMS, клик «согласен».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по 63‑ФЗ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Столбец «Модель подписи»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Advanced Electronic Signature — усиленная неквалифицированная подпись: криптоключи, но без квалифицированного сертификата EU QTSP.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УНЭП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«Модель подписи»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QES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Qualified Electronic Signature — квалифицированная подпись через аккредитованного поставщика; в ЕС = сила собственноручной.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УКЭП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Сербия (Form 6 исключение), Франция, Испания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QTSP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Qualified Trust Service Provider — аккредитованный поставщик квалифицированных услуг доверия (подпись, печать, метка времени, архив).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Аккредитованный УЦ РФ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ЕС, eIDAS 2.0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EUDI Wallet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European Digital Identity Wallet — государственный или одобренный «кошелёк» цифровой личности и атрибутов.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Пока нет прямого аналога в РФ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ЕС, eIDAS 2.0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PKI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Public Key Infrastructure — инфраструктура открытых ключей: УЦ, сертификаты, цепочки доверия.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Система аккредитованных УЦ + операторы ЭДО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ДТС ЕАЭС, трансграничность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ESIGN Act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Federal Electronic Signatures in Global and National Commerce Act — запрет отказывать документу только из‑за электронной формы.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63‑ФЗ, недискриминация электронной формы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США, ось сравнения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UETA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Uniform Electronic Transactions Act — модельный закон штатов о равенстве электронных и бумажных записей.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 + соглашение сторон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ECA 2000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Electronic Communications Act 2000 — section 7: электронная подпись допускается как доказательство; электронность сама по себе не делает её ничтожной.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63‑ФЗ, ст. 6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UK: «Подпись / форма»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ETA 2010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Electronic Transactions Act 2010 — общий режим электронных подписей и записей.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Сингапур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ESL / Закон об ЭП КНР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Electronic Signature Law — «надёжная» (reliable) электронная подпись ≈ собственноручная / печать организации.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УКЭП / усиленная 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Китай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Textform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§ 126b BGB — текстовая форма: указание лица + долговечный носитель (e‑mail, PDF), без квалифицированной подписи.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вид ПЭП, а облегчённая письменная форма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Германия, NachwG 2025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Schriftform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Строгая письменная форма по BGB — обычно собственноручная подпись на бумаге или QES.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Собственноручная подпись / УКЭП где закон требует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Zugang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Доступ волеизъявления (BGH): QES должна быть доставлена так, чтобы получатель мог её проверить.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Доставка УКЭП в проверяемом виде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Германия, судебная карточка ЭДО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click-wrap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Согласие с условиями через клик «I agree» на сайте или в приложении.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+ доведение условий до пользователя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Ирландия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pantallazos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Снимки экрана (WhatsApp и др.); в Испании могут быть доказательством, но слабее QES (STS 116/2025).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Скрин переписки — не 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Испания</w:t>
            </w:r>
          </w:p>
        </w:tc>
      </w:tr>
    </w:tbl>
    <w:p/>
    <w:p>
      <w:pPr>
        <w:pStyle w:val="Heading1"/>
      </w:pPr>
      <w:r>
        <w:t>Международные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UNCITRAL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Комиссия ООН по праву международной торговли; модели MLEC, MLES, MLETR.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Логика недискриминации в 63‑ФЗ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Блок «Международное»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MLEC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Model Law on Electronic Commerce — электронная форма не ухудшает юридическую силу.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UNCITRAL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MLES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Model Law on Electronic Signatures — надёжность связи подписи с лицом.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63‑ФЗ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UNCITRAL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MLETR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Model Law on Electronic Transferable Records — электронные коносаменты и иные передаваемые документы.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про охрану труда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Китай, UK, SG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Peppol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Сеть обмена электронными счетами и заказами в госзакупках ЕС.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Операторы ЭДО + ФНС для УПД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 (B2B)</w:t>
            </w:r>
          </w:p>
        </w:tc>
      </w:tr>
    </w:tbl>
    <w:p/>
    <w:p>
      <w:pPr>
        <w:pStyle w:val="Heading1"/>
      </w:pPr>
      <w:r>
        <w:t>Доказательства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audit trail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 событий системы: кто, когда, что создал или изменил. Без него e‑запись слабее бумаги.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 событий КЭДО / СУОТ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Правка закона, UK, США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timestamp / метка времени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Квалифицированная метка времени — доказательство, что файл существовал в данный момент в данном виде.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Метка времени (eIDAS 2.0)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ЕС, ось «Доказывание»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registered delivery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Qualified Registered Electronic Delivery — зарегистрированная доставка юридически значимого сообщения (получено / не получено).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Зарегистрированное e‑уведомление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eIDAS 2.0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qualified archive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Квалифицированное электронное архивирование — услуга доверия с доказуемой целостностью на длинный срок.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Архивное хранение 45 лет (Росархив)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eIDAS 2.0, сроки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retention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Срок и правила хранения записей (retention policy).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Сроки по Росархиву № 236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Сроки и ПДн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reproducible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Запись, которую можно воспроизвести в неизменном виде при проверке.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Воспроизводимость электронного документа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«Можно ли e‑журнал»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Evidence Act s. 106B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Сертификат компьютера / устройства: процессуальное условие допуска e‑записи в суд Кении.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прямого аналога; близко — экспертиза носителя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Кения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LEC 326.4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Презумпция подлинности записи, созданной через квалифицированную услугу доверия.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 РФ такой презумпции нет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Испания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holding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Позиция суда по существу спора (итоговый вывод), не пересказ фактов.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Мотивировочная часть решения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Судебные карточки «Позиция суда»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certification record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Запись работодателя, подтверждающая, что обучение проведено (employer certification).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Подпись ответственного / запись в журнале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 OSHA</w:t>
            </w:r>
          </w:p>
        </w:tc>
      </w:tr>
    </w:tbl>
    <w:p/>
    <w:p>
      <w:pPr>
        <w:pStyle w:val="Heading1"/>
      </w:pPr>
      <w:r>
        <w:t>Охрана труда 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HSWA 1974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Health and Safety at Work etc. Act 1974 — базовый закон: работодатель обеспечивает безопасность, обучение, информацию.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ТК РФ, ФЗ об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«Акты ОТ»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MHSWR 1999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of Health and Safety at Work Regulations 1999 — оценка рисков, обучение, мониторинг.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ПП 2464, обязанности по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suitable and sufficient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«Подходящая и достаточная» — стандарт качества оценки рисков (risk assessment) в MHSWR reg. 3.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Достаточность мер ОТ / ОПР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«Акты ОТ»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sufficient record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Рабочий критерий составителя: запись обучения должна отвечать «кто / когда / программа / результат». Не термин HSE и не цитата MHSWR.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Реквизиты записи инструктажа (предложение для правки ТК)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«Особенность ОТ»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goal-setting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Подход HSE: закон задаёт цель (безопасность, компетентность), а не бланк каждого документа.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Принцип достаточности мер vs формализм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«Обзор», «Что не переносить»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HSE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Health and Safety Executive — инспекция и разъяснения по охране труда.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ГИТ / Роструд (частично)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INDG345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Листовка HSE «Health and safety training» — совет хранить training records и refresher; бланка журнала нет.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Методички Минтруда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«Особенность ОТ»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training records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Записи о прохождении обучения (бумажные или электронные).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 инструктажа / протокол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UK, США OSHA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refresher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Повторное обучение / инструктаж по срокам.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Повторный инструктаж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 INDG345</w:t>
            </w:r>
          </w:p>
        </w:tc>
      </w:tr>
    </w:tbl>
    <w:p/>
    <w:p>
      <w:pPr>
        <w:pStyle w:val="Heading1"/>
      </w:pPr>
      <w:r>
        <w:t>Охрана труда США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OSHA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Occupational Safety and Health Administration — федеральная инспекция труда США.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ГИТ / Ростехнадзор (отраслево)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LOI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Letter of Interpretation — официальное разъяснение OSHA по применению норм.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Письмо Роструда / разъяснение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 14.08.1997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29 CFR Part 1904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Правила учёта травм и профзаболеваний на производстве.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Формы учёта НС / статотчётность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ITA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Injury Tracking Application — онлайн‑система OSHA для отчётности по травмам.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Электронная отчётность по НС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electronic training records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Электронные записи об обучении — OSHA 1997 прямо допускает, если их можно предъявить инспектору.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Электронный протокол / журнал (в РФ журнал запрещён)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США</w:t>
            </w:r>
          </w:p>
        </w:tc>
      </w:tr>
    </w:tbl>
    <w:p/>
    <w:p>
      <w:pPr>
        <w:pStyle w:val="Heading1"/>
      </w:pPr>
      <w:r>
        <w:t>Охрана труда ЕС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OSH Framework Directive 89/391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Рамочная директива об охране труда: обязанности работодателя, документирование, обучение.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ФЗ об ОТ, ТК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OiRA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Online interactive Risk Assessment — бесплатные шаблоны оценки рисков EU-OSHA.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Шаблоны карт ОПР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ЕС «Что взять»</w:t>
            </w:r>
          </w:p>
        </w:tc>
      </w:tr>
    </w:tbl>
    <w:p/>
    <w:p>
      <w:pPr>
        <w:pStyle w:val="Heading1"/>
      </w:pPr>
      <w:r>
        <w:t>Охрана труда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Unterweisung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Инструктаж по охране труда (ArbSchG § 12): содержание и связь с Gefährdungsbeurteilung важнее росписи в журнале.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Инструктаж по ПП 2464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Gefährdungsbeurteilung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Оценка опасностей (рисков) на рабочем месте — ядро немецкой системы OSH.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ОПР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Германия, матрица документов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ArbSchG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Arbeitsschutzgesetz — закон об охране труда.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ФЗ об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</w:t>
            </w:r>
          </w:p>
        </w:tc>
      </w:tr>
    </w:tbl>
    <w:p/>
    <w:p>
      <w:pPr>
        <w:pStyle w:val="Heading1"/>
      </w:pPr>
      <w:r>
        <w:t>Охрана труда 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Form 6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Форма учёта обученных безопасной работе и СИЗ; с 2025 г. только на бумаге, остальные формы ОТ — электронно с QES.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 инструктажа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Сербия</w:t>
            </w:r>
          </w:p>
        </w:tc>
      </w:tr>
    </w:tbl>
    <w:p/>
    <w:p>
      <w:pPr>
        <w:pStyle w:val="Heading1"/>
      </w:pPr>
      <w:r>
        <w:t>Охрана труда 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LPRL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Ley de Prevención de Riesgos Laborales — закон о профилактике профрисков.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ФЗ об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Испания</w:t>
            </w:r>
          </w:p>
        </w:tc>
      </w:tr>
    </w:tbl>
    <w:p/>
    <w:p>
      <w:pPr>
        <w:pStyle w:val="Heading1"/>
      </w:pPr>
      <w:r>
        <w:t>Охрана труда SG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WSH / TRS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Workplace Safety and Health + Training Records System — госреестр обязательного обучения.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Реестр обученных по 2464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Сингапур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MOM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Ministry of Manpower — министерство труда, оператор TRS.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Минтруд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Сингапур</w:t>
            </w:r>
          </w:p>
        </w:tc>
      </w:tr>
    </w:tbl>
    <w:p/>
    <w:p>
      <w:pPr>
        <w:pStyle w:val="Heading1"/>
      </w:pPr>
      <w:r>
        <w:t>Процессы 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e-PTW / permit-to-work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Электронный наряд‑допуск (permit to work) с маршрутом согласований и блокировкой допуска.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Наряд‑допуск (не в ч. 3 ст. 22.1)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UK, Беларусь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LMS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Learning Management System — система дистанционного обучения.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Корпоративная платформа обучения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UK, ЕС</w:t>
            </w:r>
          </w:p>
        </w:tc>
      </w:tr>
    </w:tbl>
    <w:p/>
    <w:p>
      <w:pPr>
        <w:pStyle w:val="Heading1"/>
      </w:pPr>
      <w:r>
        <w:t>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GDPR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General Data Protection Regulation — регламент о защите персональных данных в ЕС.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152‑ФЗ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Сроки и ПДн</w:t>
            </w:r>
          </w:p>
        </w:tc>
      </w:tr>
    </w:tbl>
    <w:p/>
    <w:p>
      <w:pPr>
        <w:pStyle w:val="Heading1"/>
      </w:pPr>
      <w:r>
        <w:t>Судебная практика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BAG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Bundesarbeitsgericht — федеральный трудовой суд.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ВС РФ / кассация по трудовым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 1 ABR 104/09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BGH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Bundesgerichtshof — федеральный суд общей юрисдикции.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ВС РФ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Zugang VIII ZR 155/23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Redmond 2024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Дело High Court 2024 IEHC 167 — пробел в оценке рисков (RA), не спор об e‑журнале.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49‑АД24‑22‑К6 (содержание журнала)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Ирландия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Cass.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Cour de cassation — верховный суд по гражданским делам.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ВС РФ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Франция 21‑19.841</w:t>
            </w:r>
          </w:p>
        </w:tc>
      </w:tr>
    </w:tbl>
    <w:p/>
    <w:p>
      <w:pPr>
        <w:pStyle w:val="Heading1"/>
      </w:pPr>
      <w:r>
        <w:t>Формулы НИР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de lege ferenda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«С точки зрения желаемого права» — предложение изменить закон.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Проект нормы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«Что взять», правка 22.1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de lege lata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«По действующему праву» — как есть сейчас.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Действующая норма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Сравнение с РФ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анalogия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 таблице: нет опубликованного дела именно об электронном журнале ОТ; карточка про соседний сюжет.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путать с прямой практикой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Тип карточки</w:t>
            </w:r>
          </w:p>
        </w:tc>
      </w:tr>
    </w:tbl>
    <w:p/>
    <w:p>
      <w:pPr>
        <w:pStyle w:val="Heading1"/>
      </w:pPr>
      <w:r>
        <w:t>РФ (для сравнения)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По‑русски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Аналог в РФ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таблице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КЭДО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Кадровый электронный документооборот — ст. 22.1–22.3 ТК.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РФ, сравнение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Три уровня ЭП по 63‑ФЗ.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 / AES / QES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Вся таблица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ДТС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Доверенная третья сторона ЕАЭС — проверка иностранной ЭЦП между PKI государств‑членов.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 + Решение ЕЭК № 120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Трансграничность</w:t>
            </w:r>
          </w:p>
        </w:tc>
      </w:tr>
    </w:tbl>
    <w:p/>
    <w:p>
      <w:pPr>
        <w:pStyle w:val="Heading1"/>
      </w:pPr>
      <w:r>
        <w:t>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eIDAS (EU) 910/2014: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63‑ФЗ об электронной подписи: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№ 2464: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Минтруда РБ № 175, п. 35: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GDPR (EU) 2016/679: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https://eur-lex.europa.eu/legal-content/EN/TXT/?uri=CELEX:32016R0679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HSE INDG345: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https://www.hse.gov.uk/pubns/indg345.htm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OSHA LOI 1997: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https://www.osha.gov/laws-regs/standardinterpretations/1997-08-14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ECA 2000 s.7: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https://www.legislation.gov.uk/ukpga/2000/7/section/7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legal-content/EN/TXT/?uri=CELEX:32014R0910" TargetMode="External"/><Relationship Id="rId10" Type="http://schemas.openxmlformats.org/officeDocument/2006/relationships/hyperlink" Target="https://www.consultant.ru/document/cons_doc_LAW_112701/" TargetMode="External"/><Relationship Id="rId11" Type="http://schemas.openxmlformats.org/officeDocument/2006/relationships/hyperlink" Target="https://www.consultant.ru/document/cons_doc_LAW_34683/" TargetMode="External"/><Relationship Id="rId12" Type="http://schemas.openxmlformats.org/officeDocument/2006/relationships/hyperlink" Target="https://www.consultant.ru/document/cons_doc_LAW_405146/" TargetMode="External"/><Relationship Id="rId13" Type="http://schemas.openxmlformats.org/officeDocument/2006/relationships/hyperlink" Target="https://www.mintrud.gov.by/uploads/files/MTiSZ-175-po-sost.-na-02.09.2024.pdf" TargetMode="External"/><Relationship Id="rId14" Type="http://schemas.openxmlformats.org/officeDocument/2006/relationships/hyperlink" Target="https://eur-lex.europa.eu/legal-content/EN/TXT/?uri=CELEX:32016R0679" TargetMode="External"/><Relationship Id="rId15" Type="http://schemas.openxmlformats.org/officeDocument/2006/relationships/hyperlink" Target="https://www.hse.gov.uk/pubns/indg345.htm" TargetMode="External"/><Relationship Id="rId16" Type="http://schemas.openxmlformats.org/officeDocument/2006/relationships/hyperlink" Target="https://www.osha.gov/laws-regs/standardinterpretations/1997-08-14" TargetMode="External"/><Relationship Id="rId17" Type="http://schemas.openxmlformats.org/officeDocument/2006/relationships/hyperlink" Target="https://www.legislation.gov.uk/ukpga/2000/7/section/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