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химико-технологический университет им. Д.И. Менделеева»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информатики и компьютерного проектирования</w:t>
      </w:r>
    </w:p>
    <w:p>
      <w:pPr>
        <w:spacing w:after="32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№1 на тему: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«Моделирование простой гидравлической системы в статическом режиме»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 – 4</w:t>
      </w:r>
    </w:p>
    <w:p>
      <w:pPr>
        <w:spacing w:after="4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______________________________</w:t>
      </w:r>
    </w:p>
    <w:p>
      <w:pPr>
        <w:spacing w:after="4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________________________________</w:t>
      </w:r>
    </w:p>
    <w:p>
      <w:pPr>
        <w:spacing w:after="32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Проверила: _____________________________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г. Москва, 2026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Схематическое изображение гидравлической модели с закрытыми ёмкостями: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5287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вариант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8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Условные обозначения: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P1, P2 – давление жидкости на входе в систему;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P3, P4, P5, P6 – давление жидкости на выходе из системы;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P7, P8, P9 – давление жидкости на дно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P10, P11, P12 – давление газа внутри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V1 – V8 – скорость истечения жидкости через клапан;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k1 – k8 – коэффициент пропускной способности клапана;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H1, H2, H3 – высоты накапливаемой жидкости в ёмкости;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H1G, H2G, H3G – геометрическая высота ёмкости.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Допущения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Газ идеален.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Во всех трубах протекает однофазный поток жидкости, температура которого одинакова на всех участках.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Форма закрытой ёмкости цилиндрическая с площадью поперечного сечения S.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Все трубы располагаются на одном уровне, в системе нет рециклических потоков, или рециклов, не учитываются местные сопротивления и перепады давлений в трубах, т.е. рассматриваются, так называемые короткие трубопроводы.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В емкостях, не занятых жидкостью, давление газа </w:t>
      </w:r>
      <m:oMath>
        <m:sSup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N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* H1G / (H1G – H1).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Системы включают только клапаны(вентили) с постоянными, не изменяющимися коэффициентами пропускной способности и закрытые емкости.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Построение системы уравнений математического описания гидравлической системы: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 xml:space="preserve">ур. Бернулли: V = k * sign (Рвх – Рвых)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вх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вых</m:t>
            </m:r>
          </m:e>
        </m:d>
      </m:oMath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sign – функция знака: -1, 0, +1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ур. Паскаля: Рж = Рг + ρ*g* H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Определение скорости потоков жидкости: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V1 = k1 * sign (Р1 – Р8)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1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V2 = k2 * sign (Р2 – Р9)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2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V3 = k3 * sign (Р7 – Р8)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7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V4 = k4 * sign (Р8 – Р9)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V5 = k5 * sign (Р7 – Р3)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7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3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V6 = k6 * sign (Р8 – Р4)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4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V7 = k7 * sign (Р8 – Р5)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8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5</m:t>
            </m:r>
          </m:e>
        </m:d>
      </m:oMath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V8 = k8 * sign (Р9 – Р6) * </w:t>
      </w:r>
      <m:oMath>
        <m:r>
          <w:rPr>
            <w:rFonts w:ascii="Cambria Math" w:hAnsi="Cambria Math"/>
            <w:sz w:val="28"/>
            <w:szCs w:val="28"/>
          </w:rPr>
          <m:rPr>
            <m:sty m:val="p"/>
          </m:rPr>
          <m:t xml:space="preserve">√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9</m:t>
            </m:r>
            <m:r>
              <w:rPr>
                <w:rFonts w:ascii="Cambria Math" w:hAnsi="Cambria Math"/>
                <w:sz w:val="28"/>
                <w:szCs w:val="28"/>
              </w:rPr>
              <m:rPr>
                <m:sty m:val="p"/>
              </m:rPr>
              <m:t xml:space="preserve"> – Р</m:t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rPr>
                <m:sty m:val="p"/>
              </m:rPr>
              <m:t xml:space="preserve">6</m:t>
            </m:r>
          </m:e>
        </m:d>
      </m:oMath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Уравнения массового баланса: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9’) (–V3 – V5 )/S1= (H1(t(k))- H1(t(o)))/ Δt = f9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9*) H1(t(o))= H1(o)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10’) (V1 + V3 – V4 – V6 – V7 )/S2= (H2(t(k))- H2(t(o)))/ Δt = f10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10*) H2(t(o))= H2(o)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11’) (V2 + V4 – V8 )/S3= (H3(t(k))- H3(t(o)))/ Δt = f11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11*) H3(t(o))= H3(o)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Определение давлений жидкости и газа в закрытых ёмкостях: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12) Р7 = Р10 + ρ*g* H1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13) Р10 = РN * H1G/ (H1G – H1)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14) Р8 = Р11 + ρ*g* H2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15) Р11 = РN * H2G/ (H2G – H2)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16) Р9 = Р12 + ρ*g* H3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17) Р12 = РN * H3G/ (H3G – H3)</w:t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Информационная матрица системы уравнений: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Условные обозначения: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◇ – определяемая переменная;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○ – известная переменная (входит в уравнение);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столбце «№ шага» отражается последовательность вычислений согласно выбранному алгоритму расчетов.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533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нформационная_матриц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3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Блок-схема алгоритма расчётов стационарного режима гидравлической системы: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970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_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7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240" w:line="276" w:lineRule="auto"/>
      </w:pPr>
      <w:r>
        <w:rPr>
          <w:rFonts w:ascii="Times New Roman" w:hAnsi="Times New Roman" w:eastAsia="Times New Roman"/>
          <w:b w:val="0"/>
          <w:i/>
          <w:sz w:val="28"/>
        </w:rPr>
        <w:t>Компьютерная программа на языке MATLAB в данную лабораторную работу не входит.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