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Китайской Народной Республике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Сравнительный обзор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Закон КНР «Об электронной подписи» (2004, изм. 2015, 2019); пересмотренный Морской кодекс (2025); «Положения о содействии и нормировании применения электронных документов» (с 01.09.2026)</w:t>
      </w:r>
    </w:p>
    <w:p>
      <w:r>
        <w:rPr>
          <w:rFonts w:ascii="Calibri" w:hAnsi="Calibri" w:eastAsia="Calibri"/>
          <w:b w:val="0"/>
          <w:sz w:val="24"/>
        </w:rPr>
        <w:t>Основной акт — Закон КНР «Об электронной подписи» (принят 28.08.2004, в силе с 01.04.2005; изменения 2015 и 2019 гг.).</w:t>
      </w:r>
    </w:p>
    <w:p>
      <w:r>
        <w:rPr>
          <w:rFonts w:ascii="Calibri" w:hAnsi="Calibri" w:eastAsia="Calibri"/>
          <w:b w:val="0"/>
          <w:sz w:val="24"/>
        </w:rPr>
        <w:t>Стороны вправе договориться об использовании электронной подписи и цифровых сообщений; юридическая сила не отрицается только из‑за электронной формы.</w:t>
      </w:r>
    </w:p>
    <w:p>
      <w:r>
        <w:rPr>
          <w:rFonts w:ascii="Calibri" w:hAnsi="Calibri" w:eastAsia="Calibri"/>
          <w:b w:val="0"/>
          <w:sz w:val="24"/>
        </w:rPr>
        <w:t>«Надёжная» электронная подпись при выполнении критериев закона (контроль средства создания подписи, обнаружение изменений и др.) имеет силу, сопоставимую с собственноручной подписью или печатью.</w:t>
      </w:r>
    </w:p>
    <w:p>
      <w:r>
        <w:rPr>
          <w:rFonts w:ascii="Calibri" w:hAnsi="Calibri" w:eastAsia="Calibri"/>
          <w:b w:val="0"/>
          <w:sz w:val="24"/>
        </w:rPr>
        <w:t>Услуги электронной сертификации лицензируются. Иностранные сертификаты признаются по международному соглашению или принципу взаимности после одобрения компетентного органа.</w:t>
      </w:r>
    </w:p>
    <w:p>
      <w:r>
        <w:rPr>
          <w:rFonts w:ascii="Calibri" w:hAnsi="Calibri" w:eastAsia="Calibri"/>
          <w:b w:val="0"/>
          <w:sz w:val="24"/>
        </w:rPr>
        <w:t>Закон прямо исключает ряд категорий: брачно‑семейные отношения, наследование, передача прав на недвижимость, отдельные коммунальные уведомления и др.</w:t>
      </w:r>
    </w:p>
    <w:p>
      <w:r>
        <w:rPr>
          <w:rFonts w:ascii="Calibri" w:hAnsi="Calibri" w:eastAsia="Calibri"/>
          <w:b w:val="0"/>
          <w:sz w:val="24"/>
        </w:rPr>
        <w:t>Новый слой 2025–2026: пересмотренный Морской кодекс КНР ввёл главу об электронных транспортных записях (в т.ч. электронных коносаментах) на принципах функциональной эквивалентности. «Положения о содействии и нормировании применения электронных документов» (CAC) вступают в силу 01.09.2026 и задают критерии надёжности систем электронных документов. UNCITRAL учитывает Китай среди юрисдикций, законодательство которых основано на MLETR или находится под его влиянием (2025).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Договорная основа использования ЭП + критерии «надёжной» подписи.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Лицензирование провайдеров сертификации.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Признание иностранных сертификатов через взаимность/договор, а не автоматически.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Чёткий список исключений электронной формы.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2026 — отдельный режим электронных транспортных и складских документов, а не только «подписи на договоре».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r>
        <w:rPr>
          <w:rFonts w:ascii="Calibri" w:hAnsi="Calibri" w:eastAsia="Calibri"/>
          <w:b w:val="0"/>
          <w:sz w:val="24"/>
        </w:rPr>
        <w:t>Источники по РФ (для сверки):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 (ДТС ЕАЭС):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Китай (КНР)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Сила не отрицается только из‑за электронной формы; «надёжная» ЭП ≈ собственноручная / печать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Договор сторон + критерии «надёжной» электронной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Лицензируемые поставщики услуг электронной сертификации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Иностранные сертификаты — по соглашению или взаимности после одобрения компетентного органа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 сторон,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критерии надёжности + роль удостоверяющих/сертификационных центров; осторожное признание иностранной 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Сходство: есть явные исключения для юридически чувствительных актов (в РФ — в т.ч. п. 3 ст. 22.1 ТК РФ и отраслевые запреты).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Китай быстрее закрыл пробел электронных товарораспорядительных документов (морской кодекс + положения CAC с 01.09.2026).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РФ иерархия трёх видов ЭП кодифицирована жёстче; в КНР акцент на «надёжной» подписи и соглашении сторон.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Системный короткий перечень исключений электронной формы в гражданском обороте (семейное, наследственное, недвижимость и т.п.), регулярно обновляемый.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Отдельный режим электронных транспортных документов / коносаментов — Китай здесь с 2026 уже в группе лидеров вместе с Сингапуром, UK и Францией.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Критерии надёжности системы (целостность, контроль доступа, аудит, disaster recovery) как доказательственный стандарт, а не только вид подписи.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Копировать модель «иностранный сертификат только после одобрения органа» как единственный канал — для ЕАЭС у РФ уже есть ДТС.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Смешивать режим электронных коносаментов с кадровым или бухгалтерским ЭДО.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Закон КНР «Об электронной подписи» (WIPO Lex):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https://www.wipo.int/wipolex/en/legislation/details/6563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Положения CAC о электронных документах (анонс, 2026):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https://www.cac.gov.cn/2026-04/17/c_1778166821092785.htm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Reed Smith: China electronic documents provisions, effective 1 September 2026: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https://www.reedsmith.com/articles/china-adopts-new-provisions-on-electronic-documents-effective-1-september-2026/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UNCITRAL: статус MLETR (включая Китай, 2025):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https://uncitral.un.org/en/texts/ecommerce/modellaw/electronic_transferable_records/status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docs.eaeunion.org/documents/414/7596/" TargetMode="External"/><Relationship Id="rId13" Type="http://schemas.openxmlformats.org/officeDocument/2006/relationships/hyperlink" Target="https://www.wipo.int/wipolex/en/legislation/details/6563" TargetMode="External"/><Relationship Id="rId14" Type="http://schemas.openxmlformats.org/officeDocument/2006/relationships/hyperlink" Target="https://www.cac.gov.cn/2026-04/17/c_1778166821092785.htm" TargetMode="External"/><Relationship Id="rId15" Type="http://schemas.openxmlformats.org/officeDocument/2006/relationships/hyperlink" Target="https://www.reedsmith.com/articles/china-adopts-new-provisions-on-electronic-documents-effective-1-september-2026/" TargetMode="External"/><Relationship Id="rId16" Type="http://schemas.openxmlformats.org/officeDocument/2006/relationships/hyperlink" Target="https://uncitral.un.org/en/texts/ecommerce/modellaw/electronic_transferable_records/sta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