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F4E79"/>
          <w:sz w:val="44"/>
        </w:rPr>
        <w:t>ЭДО в Казахстане и контуре ЕАЭС</w:t>
      </w:r>
    </w:p>
    <w:p>
      <w:pPr>
        <w:spacing w:after="200"/>
      </w:pPr>
      <w:r>
        <w:rPr>
          <w:rFonts w:ascii="Calibri" w:hAnsi="Calibri" w:eastAsia="Calibri"/>
          <w:b w:val="0"/>
          <w:color w:val="535353"/>
          <w:sz w:val="26"/>
        </w:rPr>
        <w:t>Сравнительный обзор с Российской Федерацией</w:t>
      </w:r>
    </w:p>
    <w:p>
      <w:pPr>
        <w:spacing w:after="240"/>
      </w:pPr>
      <w:r>
        <w:rPr>
          <w:rFonts w:ascii="Calibri" w:hAnsi="Calibri" w:eastAsia="Calibri"/>
          <w:b w:val="0"/>
          <w:color w:val="535353"/>
          <w:sz w:val="22"/>
        </w:rPr>
        <w:t>Сравнительный анализ зарубежного регулирования электронного документооборота (ЭДО) с правовой моделью Российской Федерации. Актуализация: август 2026 г.</w:t>
      </w:r>
    </w:p>
    <w:p>
      <w:pPr>
        <w:pStyle w:val="Heading1"/>
      </w:pPr>
      <w:r>
        <w:t>1. Краткий обзор регулирования ЭДО</w:t>
      </w:r>
    </w:p>
    <w:p>
      <w:r>
        <w:rPr>
          <w:rFonts w:ascii="Calibri" w:hAnsi="Calibri" w:eastAsia="Calibri"/>
          <w:b w:val="0"/>
          <w:sz w:val="24"/>
        </w:rPr>
        <w:t>Основные акты: Закон РК от 07.01.2003 № 370; Решение Коллегии ЕЭК от 22.08.2023 № 120</w:t>
      </w:r>
    </w:p>
    <w:p>
      <w:r>
        <w:rPr>
          <w:rFonts w:ascii="Calibri" w:hAnsi="Calibri" w:eastAsia="Calibri"/>
          <w:b w:val="0"/>
          <w:sz w:val="24"/>
        </w:rPr>
        <w:t>Базовый акт РК — Закон от 07.01.2003 № 370 «Об электронном документе и электронной цифровой подписи».</w:t>
      </w:r>
    </w:p>
    <w:p>
      <w:r>
        <w:rPr>
          <w:rFonts w:ascii="Calibri" w:hAnsi="Calibri" w:eastAsia="Calibri"/>
          <w:b w:val="0"/>
          <w:sz w:val="24"/>
        </w:rPr>
        <w:t>Модель PKI‑центричная: электронный документ + ЭЦП, удостоверяющие центры, признание иностранной ЭЦП при соблюдении условий закона.</w:t>
      </w:r>
    </w:p>
    <w:p>
      <w:r>
        <w:rPr>
          <w:rFonts w:ascii="Calibri" w:hAnsi="Calibri" w:eastAsia="Calibri"/>
          <w:b w:val="0"/>
          <w:sz w:val="24"/>
        </w:rPr>
        <w:t>Ключевой институт трансграничности — доверенная третья сторона (ДТС), подтверждающая подлинность иностранной ЭЦП / ЭЦП, выданной в РК.</w:t>
      </w:r>
    </w:p>
    <w:p>
      <w:r>
        <w:rPr>
          <w:rFonts w:ascii="Calibri" w:hAnsi="Calibri" w:eastAsia="Calibri"/>
          <w:b w:val="0"/>
          <w:sz w:val="24"/>
        </w:rPr>
        <w:t>В ЕАЭС действует Решение Коллегии ЕЭК от 22.08.2023 № 120: правила признания ЭП/ЭЦП и обеспечения юридической силы электронных документов при трансграничном взаимодействии юридических лиц с уполномоченными органами государств‑членов и ЕЭК с использованием ДТС. Документ в силе с 23.09.2023.</w:t>
      </w:r>
    </w:p>
    <w:p>
      <w:r>
        <w:rPr>
          <w:rFonts w:ascii="Calibri" w:hAnsi="Calibri" w:eastAsia="Calibri"/>
          <w:b w:val="0"/>
          <w:sz w:val="24"/>
        </w:rPr>
        <w:t>Важно: Решение № 120 закрывает в первую очередь B2G (хозяйствующий субъект ↔ орган / ЕЭК), а не весь частный B2B‑обмен между компаниями разных стран Союза.</w:t>
      </w:r>
    </w:p>
    <w:p>
      <w:pPr>
        <w:pStyle w:val="Heading1"/>
      </w:pPr>
      <w:r>
        <w:t>2. Ключевые особенности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Прямое законодательное понятие электронного документа и ЭЦП.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ДТС как инфраструктурный мост трансграничного доверия.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Интеграция с правилами ЕАЭС для взаимодействия с органами и ЕЭК.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Признание иностранной ЭЦП при «переводе доверия» через ДТС, а не через универсальное взаимное признание как в ЕС.</w:t>
      </w:r>
    </w:p>
    <w:p>
      <w:pPr>
        <w:pStyle w:val="Heading1"/>
      </w:pPr>
      <w:r>
        <w:t>3. База для сравнения: ЭДО в Российской Федерации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Юридическая сила электронного документа и подписи — прежде всего ФЗ от 06.04.2011 № 63‑ФЗ (ПЭП / УНЭП / УКЭП).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B2B‑ЭДО (счета‑фактуры, УПД и др.) — через операторов ЭДО и отраслевые требования ФНС / Минфина.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Кадровый ЭДО — ст. 22.1–22.3 ТК РФ (согласие работника, виды ЭП, исключения).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Трансграничное признание иностранных ЭП — ст. 7 63‑ФЗ: международные договоры, соглашение сторон, существенная эквивалентность; в ЕАЭС — через службу доверенной третьей стороны (ДТС).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С августа 2026: ФЗ от 04.08.2026 № 315‑ФЗ — правила УКЭП для международных (межправительственных) организаций и их филиалов/представительств в РФ; квалифицированный сертификат выдаёт УЦ ФНС России.</w:t>
      </w:r>
    </w:p>
    <w:p>
      <w:r>
        <w:rPr>
          <w:rFonts w:ascii="Calibri" w:hAnsi="Calibri" w:eastAsia="Calibri"/>
          <w:b w:val="0"/>
          <w:sz w:val="24"/>
        </w:rPr>
        <w:t>Источники по РФ (для сверки):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06.04.2011 № 63‑ФЗ «Об электронной подписи»: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https://www.consultant.ru/document/cons_doc_LAW_112701/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ТК РФ, ст. 22.1–22.3 (кадровый ЭДО):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 xml:space="preserve">https://www.consultant.ru/document/cons_doc_LAW_34683/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ФЗ от 04.08.2026 № 315‑ФЗ (УКЭП международных организаций):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 xml:space="preserve">http://kremlin.ru/acts/news/80444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Решение Коллегии ЕЭК от 22.08.2023 № 120 (ДТС ЕАЭС):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https://docs.eaeunion.org/documents/414/7596/</w:t>
        </w:r>
      </w:hyperlink>
    </w:p>
    <w:p>
      <w:pPr>
        <w:pStyle w:val="Heading1"/>
      </w:pPr>
      <w:r>
        <w:t>4. Сравнительный анализ с ЭДО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Казахстан / ЕАЭС</w:t>
            </w:r>
          </w:p>
        </w:tc>
        <w:tc>
          <w:tcPr>
            <w:tcW w:type="dxa" w:w="3175"/>
            <w:shd w:fill="1F4E79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Российская Федерация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Юридическая сила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Электронный документ с ЭЦП имеет силу при соблюдении закона; ЭЦП приравнивается к собственноручной при условиях закона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Эл. документ с ЭП признаётся при соблюдении вида подписи и закона/соглашения (63‑ФЗ)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Модель подписи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PKI‑центричная модель ЭЦП / удостоверяющих центров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ПЭП / УНЭП / УКЭП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Инфраструктура доверия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Удостоверяющие центры; доверенная третья сторона (ДТС) для трансграничной проверки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Аккредитованные УЦ, операторы ЭДО, УЦ ФНС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Трансграничность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Признание через ДТС РК / ДТС государств ЕАЭС; правила ЕЭК № 120 для B2G с органами и ЕЭК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Ст. 7 63‑ФЗ, договоры сторон, ДТС ЕАЭС; 315‑ФЗ — УКЭП международных организаций</w:t>
            </w:r>
          </w:p>
        </w:tc>
      </w:tr>
    </w:tbl>
    <w:p/>
    <w:p>
      <w:pPr>
        <w:pStyle w:val="ListBullet"/>
      </w:pPr>
      <w:r>
        <w:rPr>
          <w:rFonts w:ascii="Calibri" w:hAnsi="Calibri" w:eastAsia="Calibri"/>
          <w:b w:val="0"/>
          <w:sz w:val="24"/>
        </w:rPr>
        <w:t>Наиболее близкая к РФ модель среди рассмотренных юрисдикций (ЭЦП, УЦ, осторожное признание иностранной подписи).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Отличие: в ЕАЭС акцент на ДТС как обязательном «переводчике доверия» между национальными PKI.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В РФ параллельно сильнее развит частный операторский B2B‑ЭДО (формализованный обмен счетами‑фактурами).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315‑ФЗ (2026) закрывает УКЭП международных организаций внутри РФ, но не заменяет ДТС для казахстанской/белорусской ЭЦП.</w:t>
      </w:r>
    </w:p>
    <w:p>
      <w:pPr>
        <w:pStyle w:val="Heading1"/>
      </w:pPr>
      <w:r>
        <w:t>5. Что из этой практики можно добавить в РФ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Довести ДТС ЕАЭС до практического B2B, а не только B2G: понятные квитанции проверки как судебные доказательства.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Публичный статус/реестр ДТС и формат квитанции проверки — чтобы суды принимали её без экспертизы «с нуля».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Не плодить второй контур признания параллельно ЕАЭС (отдельные двусторонние «одобрения сертификатов» без ДТС).</w:t>
      </w:r>
    </w:p>
    <w:p>
      <w:pPr>
        <w:pStyle w:val="Heading1"/>
      </w:pPr>
      <w:r>
        <w:t>6. Что не стоит заимствовать / лучше не ужесточать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Делать ДТС обязательной для внутрироссийского обмена — это инструмент трансграничности.</w:t>
      </w:r>
    </w:p>
    <w:p>
      <w:pPr>
        <w:pStyle w:val="ListBullet"/>
      </w:pPr>
      <w:r>
        <w:rPr>
          <w:rFonts w:ascii="Calibri" w:hAnsi="Calibri" w:eastAsia="Calibri"/>
          <w:b w:val="0"/>
          <w:sz w:val="24"/>
        </w:rPr>
        <w:t>Ждать от Решения № 120 автоматического признания любой иностранной ЭП за пределами ЕАЭС.</w:t>
      </w:r>
    </w:p>
    <w:p>
      <w:pPr>
        <w:pStyle w:val="Heading1"/>
      </w:pPr>
      <w:r>
        <w:t>7. Источники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Закон РК от 07.01.2003 № 370 (Adilet):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 xml:space="preserve">https://adilet.zan.kz/rus/docs/Z030000370_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Решение Коллегии ЕЭК от 22.08.2023 № 120: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 xml:space="preserve">https://docs.eaeunion.org/documents/414/7596/</w:t>
        </w:r>
      </w:hyperlink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 xml:space="preserve">Текст Решения № 120 (Альта‑Софт):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 xml:space="preserve">https://www.alta.ru/tamdoc/23kr0120/</w:t>
        </w:r>
      </w:hyperlink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4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sultant.ru/document/cons_doc_LAW_112701/" TargetMode="External"/><Relationship Id="rId10" Type="http://schemas.openxmlformats.org/officeDocument/2006/relationships/hyperlink" Target="https://www.consultant.ru/document/cons_doc_LAW_34683/" TargetMode="External"/><Relationship Id="rId11" Type="http://schemas.openxmlformats.org/officeDocument/2006/relationships/hyperlink" Target="http://kremlin.ru/acts/news/80444" TargetMode="External"/><Relationship Id="rId12" Type="http://schemas.openxmlformats.org/officeDocument/2006/relationships/hyperlink" Target="https://docs.eaeunion.org/documents/414/7596/" TargetMode="External"/><Relationship Id="rId13" Type="http://schemas.openxmlformats.org/officeDocument/2006/relationships/hyperlink" Target="https://adilet.zan.kz/rus/docs/Z030000370_" TargetMode="External"/><Relationship Id="rId14" Type="http://schemas.openxmlformats.org/officeDocument/2006/relationships/hyperlink" Target="https://www.alta.ru/tamdoc/23kr012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