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1F4E79"/>
          <w:sz w:val="32"/>
        </w:rPr>
        <w:t>ЭДО в США (ESIGN / UETA)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555555"/>
          <w:sz w:val="22"/>
        </w:rPr>
        <w:t>Сравнительный обзор с Российской Федерацией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Документ подготовлен для сравнительного анализа зарубежного регулирования электронного документооборота (ЭДО) с правовой моделью Российской Федерации (ФЗ № 63‑ФЗ «Об электронной подписи», отраслевые режимы ЭДО/КЭДО).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1. Краткий обзор регулирования ЭДО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Федеральный уровень — Electronic Signatures in Global and National Commerce Act (ESIGN, 15 U.S.C. ch. 96). На уровне штатов — Uniform Electronic Transactions Act (UETA); Нью‑Йорк использует собственный ESRA.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Модель технологически нейтральная: договор или запись не могут быть лишены юридической силы только потому, что использованы электронная подпись или электронная запись.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Нет обязательной европейской/российской иерархии «квалифицированная / неквалифицированная» подпись на федеральном уровне. Доверие строится согласием сторон, коммерческой разумностью процедуры и возможностью воспроизвести запись.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Существуют исключения для отдельных категорий документов (часть семейных, завещательных и подобных актов — по закону).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2. Ключевые особенности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Максимальная свобода выбора технологии подписания.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Акцент на consumer consent и сохраняемости электронных записей.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Рынок коммерческих провайдеров вместо единой государственной системы квалифицированных УЦ.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Международный блок ESIGN поощряет недискриминацию иностранных электронных подписей.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3. База для сравнения: ЭДО в Российской Федерации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Юридическая сила электронного документа и подписи регулируется прежде всего ФЗ № 63‑ФЗ (ПЭП / УНЭП / УКЭП).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B2B‑ЭДО (счета‑фактуры, УПД и др.) — через операторов ЭДО и отраслевые требования ФНС/Минфина.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Кадровый ЭДО — ст. 22.1–22.3 ТК РФ (согласие работника, виды ЭП, исключения).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Трансграничное признание иностранных ЭП — ограниченно: международные договоры, соглашение сторон, условия 63‑ФЗ; в контуре ЕАЭС — через службы доверенной третьей стороны (ДТС).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Источники по РФ (для сверки):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ФЗ от 06.04.2011 № 63‑ФЗ «Об электронной подписи» (КонсультантПлюс):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https://www.consultant.ru/document/cons_doc_LAW_112701/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ТК РФ, ст. 22.1–22.3 (КЭДО):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https://www.consultant.ru/document/cons_doc_LAW_34683/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4. Сравнительный анализ с ЭДО РФ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Главное отличие от РФ: США не требуют УКЭП/аккредитованного УЦ для придания силы большинству коммерческих документов.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Сходство: принцип недискриминации электронной формы; согласие на электронное взаимодействие важно и в РФ (особенно КЭДО).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В РФ сильнее государствоцентричная инфраструктура УЦ и операторов ЭДО; в США — договор и рынок.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5. Что из этой практики можно добавить в РФ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Для низкорискового внутреннего документооборота и части HR‑процессов — шире опираться на принцип технологической нейтральности и доказательственную ценность аудит‑трейла (не требовать УКЭП там, где закон уже допускает ПЭП/УНЭП).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Усилить требования к сохраняемости и воспроизводимости электронной записи (retention / accurate reproduction) как условие юридической силы — по мотивам ESIGN.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В трансграничных контрактах с US‑контрагентами — прямо фиксировать выбранную технологию и порядок доказывания подписи (как ожидает нейтральная модель).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6. Что не стоит переносить / что можно упростить у нас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Не отказываться от иерархии ПЭП/УНЭП/УКЭП в пользу «полной американской нейтральности»: в РФ иерархия нужна для госуслуг, отчётности и защиты слабой стороны.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Не демонтировать аккредитацию УЦ и форматы ФНС ради «рыночной» модели — это сломает фискальный и B2G‑контур.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Не переносить американские исключения «списком» без адаптации: перечень исключений в РФ должен оставаться предметным (как в п. 3 ст. 22.1 ТК РФ и отраслевых запретах).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7. Ссылки на источники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US Code: 15 U.S.C. Chapter 96 (ESIGN):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https://uscode.house.gov/view.xhtml?path=/prelim@title15/chapter96&amp;edition=prelim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Uniform Law Commission — UETA: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https://www.uniformlaws.org/committees/community-home?CommunityKey=2c04b76c-2b7d-4399-977e-d5876ba7e62c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UNCITRAL influence note (context for ESIGN principles):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https://uncitral.un.org/en/texts/ecommerce/modellaw/electronic_commerce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Примечание: обзор носит информационно‑аналитический характер и не является юридической консультацией. Нормы иностранных актов следует проверять по официальным публикациям на дату использования.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