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Сводные рекомендации: зарубежный ЭДО и РФ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Что добавить и что не переносить по итогам сравнения юрисдикций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подготовлен для сравнительного анализа зарубежного регулирования электронного документооборота (ЭДО) с правовой моделью Российской Федерации (ФЗ № 63‑ФЗ «Об электронной подписи», отраслевые режимы ЭДО/КЭДО).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Общий вывод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Зарубежное регулирование ЭДО строится вокруг юридической силы электронной записи и подписи, а не вокруг «операторов ЭДО» как универсальной отрасли. У РФ уже есть сильные стороны: иерархия ЭП (63‑ФЗ), фискальный B2B‑ЭДО и отдельный кадровый режим. Имеет смысл точечно заимствовать инструменты доверия и трансграничия, а не ломать работающую модель.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Что целесообразно добавить в российскую практику/регулирование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Квалифицированное электронное архивирование и метка времени как самостоятельные услуги доверия (мотив eIDAS 2.0) — для судебной доказываемости целостности и даты.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Режим зарегистрированной электронной доставки юридически значимых сообщений (мотив eIDAS registered delivery) — особенно для споров о получении уведомлений.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Развитие признания через ДТС ЕАЭС для реального трансграничного B2B (мотив Казахстан/ЕАЭС), с понятными квитанциями проверки как доказательствами.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Режим электронных передаваемых записей для внешней торговли/логистики по мотивам MLETR/Сингапура (электронные коносаменты и аналоги).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Явные презумпции аутентичности/целостности для согласованных «secure»‑процедур УНЭП (мотив Сингапур) — без требования УКЭП там, где риск невелик.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Системный короткий перечень исключений электронной формы в гражданском обороте (мотив Китай + уже существующие исключения КЭДО), регулярно обновляемый.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Усиление требований к сохраняемости и воспроизводимости электронной записи (мотив ESIGN/США).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Что не стоит заимствовать / что лучше не ужесточать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Полный отказ от иерархии ПЭП/УНЭП/УКЭП в пользу «американской» абсолютной технологической нейтральности — разрушит B2G и защиту слабой стороны.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Обязательная УКЭП/QES для всех документов — противоречит и ЕС, и здравому смыслу пропорциональности.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Механический перенос всей надзорной машины QTSP ЕС поверх уже существующей аккредитации УЦ — риск двойного регулирования и роста стоимости.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Обязательный «кошелёк идентичности» до готовности инфраструктуры.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Обязательная ДТС для внутрироссийского обмена.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Перенос MLETR в кадровый ЭДО.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Матрица приоритетов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Быстрый эффект, низкий конфликт с текущей моделью: архив/метка времени, правила доказывания логов, сохраняемость записей, разъяснения по УНЭП‑презумпциям.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Средний горизонт: registered delivery; донастройка ДТС ЕАЭС для бизнеса.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Длинный горизонт: MLETR‑подобные передаваемые документы; цифровой кошелёк идентичности.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Состав комплекта страновых файлов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01_ЕС_eIDAS_ЭДО.docx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02_Великобритания_ЭДО.docx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03_США_ЭДО.docx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04_Сингапур_ЭДО.docx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05_Китай_ЭДО.docx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06_Казахстан_ЕАЭС_ЭДО.docx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00_Сводные_рекомендации_ЭДО_РФ.docx (настоящий файл)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Ключевые источники (общие)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UNCITRAL — Model Law on Electronic Commerce: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https://uncitral.un.org/en/texts/ecommerce/modellaw/electronic_commerce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UNCITRAL — Model Law on Electronic Signatures: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https://uncitral.un.org/en/texts/ecommerce/modellaw/electronic_signatures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UNCITRAL — MLETR: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https://uncitral.un.org/en/texts/ecommerce/modellaw/electronic_transferable_records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eIDAS 2014: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https://eur-lex.europa.eu/legal-content/EN/TXT/?uri=CELEX:32014R0910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eIDAS 2.0 (2024/1183):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https://eur-lex.europa.eu/legal-content/EN/TXT/?uri=CELEX:32024R1183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документ носит информационно‑аналитический характер и не является юридической консультацией.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