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1F4E79"/>
          <w:sz w:val="32"/>
        </w:rPr>
        <w:t>ЭДО в Европейском союзе (eIDAS / eIDAS 2.0)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Сравнительный обзор с Российской Федерацией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Документ подготовлен для сравнительного анализа зарубежного регулирования электронного документооборота (ЭДО) с правовой моделью Российской Федерации (ФЗ № 63‑ФЗ «Об электронной подписи», отраслевые режимы ЭДО/КЭДО).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1. Краткий обзор регулирования ЭДО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Ключевой акт — Регламент (EU) № 910/2014 (eIDAS). С 20.05.2024 действует обновление — Регламент (EU) 2024/1183 (eIDAS 2.0).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ЭДО в ЕС регулируется не через «операторов ЭДО» как отдельную отрасль, а через юридическую силу электронных подписей, печатей, меток времени, заказных электронных доставок и иных услуг доверия, а также через электронную идентификацию.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Иерархия подписей: простая (SES), усиленная (AES), квалифицированная (QES). QES имеет юридическую силу, равную собственноручной подписи, и взаимно признаётся во всех государствах‑членах ЕС.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eIDAS 2.0 вводит европейский кошелёк цифровой идентичности (EUDI Wallet): государства‑члены должны обеспечить его к концу 2026 г.; расширяется перечень квалифицированных услуг доверия (в т.ч. электронное архивирование, электронные реестры и др.).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2. Ключевые особенности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Единое пространство доверия внутри ЕС для квалифицированных подписей и услуг.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Чёткая градация доказательственной силы подписи (SES → AES → QES).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Надзор за квалифицированными поставщиками услуг доверия (QTSP).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Отдельные инструменты: электронная печать организации, квалифицированная метка времени, зарегистрированная электронная доставка.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Фокус eIDAS 2.0 — цифровая идентичность гражданина/бизнеса (кошелёк), а не только подпись договора.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3. База для сравнения: ЭДО в Российской Федерации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Юридическая сила электронного документа и подписи регулируется прежде всего ФЗ № 63‑ФЗ (ПЭП / УНЭП / УКЭП).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B2B‑ЭДО (счета‑фактуры, УПД и др.) — через операторов ЭДО и отраслевые требования ФНС/Минфина.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Кадровый ЭДО — ст. 22.1–22.3 ТК РФ (согласие работника, виды ЭП, исключения).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Трансграничное признание иностранных ЭП — ограниченно: международные договоры, соглашение сторон, условия 63‑ФЗ; в контуре ЕАЭС — через службы доверенной третьей стороны (ДТС).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Источники по РФ (для сверки):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ФЗ от 06.04.2011 № 63‑ФЗ «Об электронной подписи» (КонсультантПлюс):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https://www.consultant.ru/document/cons_doc_LAW_112701/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ТК РФ, ст. 22.1–22.3 (КЭДО):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https://www.consultant.ru/document/cons_doc_LAW_34683/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4. Сравнительный анализ с ЭДО РФ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Сходство с РФ: трёхуровневая логика подписи (SES/AES/QES ≈ ПЭП/УНЭП/УКЭП); акцент на аккредитованных/квалифицированных поставщиках.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Отличие: в ЕС взаимное признание QES внутри Союза — автоматическое; в РФ иностранные ЭП признаются точечно.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Отличие: в ЕС сильнее стандартизированы услуги доверия (печать, timestamp, registered delivery, архив); в РФ часть функций «размазана» по 63‑ФЗ, отраслевым актам и договорной практике операторов ЭДО.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Отличие: кадровый ЭДО в РФ выделен отдельно в ТК РФ; в ЕС трудовые электронные процедуры чаще регулируются национальным трудовым правом государств‑членов на базе общих правил eIDAS.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5. Что из этой практики можно добавить в РФ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Усилить правовой режим квалифицированной метки времени и квалифицированного электронного архива (как в eIDAS 2.0) — для доказывания целостности и сохранности документов ЭДО в суде.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Развивать «зарегистрированную электронную доставку» (аналог qualified electronic registered delivery) для юридически значимых уведомлений (в т.ч. в спорах о получении документов работником/контрагентом).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Долгосрочно — национальный/интеграционный «кошелёк» цифровой идентичности для подписания и представления атрибутов (по мотивам EUDI), совместимый с УКЭП.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Чётче описать электронную печать юридического лица как самостоятельный инструмент (рядом с подписью физлица), чтобы снизить споры о полномочиях при массовом B2B‑ЭДО.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6. Что не стоит переносить / что можно упростить у нас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Не копировать механически всю регуляторику QTSP ЕС «один в один» — в РФ уже есть аккредитация УЦ; избыточная дублирующая надстройка повысит стоимость ЭДО без прироста доверия.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Не делать QES/УКЭП обязательной для всех видов документов (в ЕС SES/AES законны для большинства сделок): сохранять пропорциональность вида подписи риску документа — как сейчас в ст. 22.3 ТК РФ и договорной практике.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Не переносить в РФ обязательный EUDI Wallet как жёсткое требование к бизнесу до готовности инфраструктуры идентификации.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7. Ссылки на источники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EUR-Lex: Regulation (EU) No 910/2014 (eIDAS):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https://eur-lex.europa.eu/legal-content/EN/TXT/?uri=CELEX:32014R0910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EUR-Lex: Regulation (EU) 2024/1183 (eIDAS 2.0):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https://eur-lex.europa.eu/legal-content/EN/TXT/?uri=CELEX:32024R1183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European Commission — European Digital Identity: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https://commission.europa.eu/strategy-and-policy/priorities-2019-2024/europe-fit-digital-age/european-digital-identity_en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/>
          <w:sz w:val="22"/>
        </w:rPr>
        <w:t>Примечание: обзор носит информационно‑аналитический характер и не является юридической консультацией. Нормы иностранных актов следует проверять по официальным публикациям на дату использования.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