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1F4E79"/>
          <w:sz w:val="32"/>
        </w:rPr>
        <w:t>ЭДО в Великобритании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555555"/>
          <w:sz w:val="22"/>
        </w:rPr>
        <w:t>Сравнительный обзор с Российской Федерацией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Документ подготовлен для сравнительного анализа зарубежного регулирования электронного документооборота (ЭДО) с правовой моделью Российской Федерации (ФЗ № 63‑ФЗ «Об электронной подписи», отраслевые режимы ЭДО/КЭДО).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1. Краткий обзор регулирования ЭДО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Базовый национальный акт — Electronic Communications Act 2000 (раздел 7): электронная подпись и сертификаты допустимы как доказательства подлинности и целостности в судебных процедурах.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До Brexit действовал eIDAS напрямую; после выхода логика eIDAS сохранена через национальные правила (Electronic Identification and Trust Services for Electronic Transactions Regulations 2016 и последующую UK‑адаптацию).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На практике в коммерческом обороте широко используются простые и усиленные электронные подписи; для отдельных формальных сделок (например, deeds) ориентир — более строгие средства, вплоть до квалифицированной подписи.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2. Ключевые особенности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Доказательственный подход: закон прямо говорит о допустимости ЭП в суде, а не только о «равенстве бумаге».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Сохранена трехуровневая модель подписи в духе eIDAS.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Гибкость коммерческой практики SES/AES при высоких требованиях к отдельным сделкам.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После Brexit нет автоматического взаимного признания с ЕС «как внутри Союза».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3. База для сравнения: ЭДО в Российской Федерации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Юридическая сила электронного документа и подписи регулируется прежде всего ФЗ № 63‑ФЗ (ПЭП / УНЭП / УКЭП).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B2B‑ЭДО (счета‑фактуры, УПД и др.) — через операторов ЭДО и отраслевые требования ФНС/Минфина.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Кадровый ЭДО — ст. 22.1–22.3 ТК РФ (согласие работника, виды ЭП, исключения).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Трансграничное признание иностранных ЭП — ограниченно: международные договоры, соглашение сторон, условия 63‑ФЗ; в контуре ЕАЭС — через службы доверенной третьей стороны (ДТС).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Источники по РФ (для сверки):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ФЗ от 06.04.2011 № 63‑ФЗ «Об электронной подписи» (КонсультантПлюс):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https://www.consultant.ru/document/cons_doc_LAW_112701/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ТК РФ, ст. 22.1–22.3 (КЭДО):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https://www.consultant.ru/document/cons_doc_LAW_34683/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4. Сравнительный анализ с ЭДО РФ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Сходство с РФ: допустимость ЭП как доказательства; наличие уровней подписи.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Отличие: UK сильнее опирается на common law + доказательственную норму ECA 2000; РФ — на кодифицированные виды ЭП и специальные режимы (ЭДО ФНС, КЭДО ТК).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Отличие: в РФ операторский B2B‑ЭДО и кадровый ЭДО детализированы сильнее, чем в общем UK‑акте о коммуникациях.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5. Что из этой практики можно добавить в РФ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Явно закрепить в разъяснениях/практике, что логи/аудит‑трейл платформы ЭДО и сертификат подписи оцениваются судом как доказательства подлинности и целостности (по духу ECA s.7) — это уже часто бывает, но полезно унифицировать.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Сохранять «двухскоростной» подход: простые средства для низкорисковых документов, строгие — для высокорисковых (как UK SES/AES vs QES для deeds).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6. Что не стоит переносить / что можно упростить у нас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усложнять общее гражданское регулирование ЭДО отдельным «актом об электронных коммуникациях» параллельно 63‑ФЗ — в РФ рамка уже есть; важнее согласовать отраслевые режимы между собой.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заимствовать пост‑Brexit разрыв взаимного признания как модель для ЕАЭС: для РФ выгоднее интеграционное признание через ДТС, а не изоляция.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7. Ссылки на источники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UK Legislation: Electronic Communications Act 2000, section 7: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https://www.legislation.gov.uk/ukpga/2000/7/section/7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The Electronic Identification and Trust Services for Electronic Transactions Regulations 2016: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https://www.legislation.gov.uk/uksi/2016/696/contents/made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Law Commission / government materials on electronic signatures (overview context):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https://www.lawcom.gov.uk/project/electronic-execution-of-documents/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Примечание: обзор носит информационно‑аналитический характер и не является юридической консультацией. Нормы иностранных актов следует проверять по официальным публикациям на дату использования.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