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Сингапуре (Electronic Transactions Act)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подготовлен для сравнительного анализа зарубежного регулирования электронного документооборота (ЭДО) с правовой моделью Российской Федерации (ФЗ № 63‑ФЗ «Об электронной подписи», отраслевые режимы ЭДО/КЭДО).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Краткий обзор регулирования ЭДО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Основной акт — Electronic Transactions Act 2010 (ETA). Закон реализует Конвенцию ООН 2005 об электронных сообщениях в международных договорах и (с поправками 2021) Типовой закон UNCITRAL об электронных передаваемых записях (MLETR).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Признаются электронные записи и подписи; стороны могут исключить электронную форму соглашением или установить дополнительные требования к аутентификации.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Введено понятие secure electronic signature: при соблюдении критериев (уникальность, идентификация, контроль средства, связь с записью) действуют презумпции аутентичности и целостности.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После 2021 Сингапур — один из лидеров по правовому режиму электронных передаваемых документов (в т.ч. электронных коносаментов).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Сочетание технологической нейтральности и «secure»‑презумпций.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Прямая ориентация на международную торговлю и MLETR.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Добровольность электронной формы + право сторон ужесточить требования.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Фокус на transferable records (товарораспорядительные документы), а не только на договорах и счетах.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для сравнения: ЭДО в Российской Федерации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Юридическая сила электронного документа и подписи регулируется прежде всего ФЗ № 63‑ФЗ (ПЭП / УНЭП / УКЭП).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B2B‑ЭДО (счета‑фактуры, УПД и др.) — через операторов ЭДО и отраслевые требования ФНС/Минфина.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Кадровый ЭДО — ст. 22.1–22.3 ТК РФ (согласие работника, виды ЭП, исключения).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Трансграничное признание иностранных ЭП — ограниченно: международные договоры, соглашение сторон, условия 63‑ФЗ; в контуре ЕАЭС — через службы доверенной третьей стороны (ДТС).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 (для сверки):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от 06.04.2011 № 63‑ФЗ «Об электронной подписи» (КонсультантПлюс):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(КЭДО):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 РФ: оба правопорядка признают ЭП и электронные записи; в РФ сильнее детализированы виды ЭП и операторский ЭДО.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Сингапур опережает РФ в режиме электронных передаваемых документов (коносаменты и аналоги); в РФ этот блок пока фрагментарен.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Презумпции secure signature близки по смыслу к усиленной/квалифицированной подписи, но сформулированы через критерии надёжности, а не через аккредитацию УЦ.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Рассмотреть внедрение режима электронных передаваемых записей (по мотивам MLETR) для внешней торговли и логистики — это clearest «добавка» из сингапурской практики.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Закрепить презумпции аутентичности/целостности для подписей, соответствующих критериям надёжности (даже если это УНЭП с согласованной процедурой безопасности).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Явно разрешить сторонам договора исключать электронную форму или повышать требования к аутентификации — для снижения споров о навязанном ЭДО.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можно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подменять российскую систему УЦ «secure procedure» без регулятора: для B2G и отчётности аккредитация остаётся нужной.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переносить MLETR в кадровый ЭДО — это инструмент торгового оборота, не трудовых отношений.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Singapore Statutes Online — Electronic Transactions Act 2010: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https://sso.agc.gov.sg/act/eta2010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Electronic Transactions (Amendment) Act 2021: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https://sso.agc.gov.sg/Acts-Supp/5-2021/Published/20210312?DocDate=20210312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UNCITRAL MLETR: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https://uncitral.un.org/en/texts/ecommerce/modellaw/electronic_transferable_records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MDDI Singapore — ETA amendments announcement: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https://www.mddi.gov.sg/newsroom/eta-amended-to-facilitate-transactions-provide-convenience-boost-trade/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носит информационно‑аналитический характер и не является юридической консультацией. Нормы иностранных актов следует проверять по официальным публикациям на дату использования.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